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1E5E" w:rsidRDefault="00B17145" w:rsidP="00231E5E">
      <w:pPr>
        <w:pStyle w:val="Default"/>
        <w:rPr>
          <w:rFonts w:ascii="Arial" w:hAnsi="Arial" w:cs="Arial"/>
          <w:iCs/>
        </w:rPr>
      </w:pPr>
      <w:r>
        <w:rPr>
          <w:noProof/>
          <w:lang w:eastAsia="en-GB"/>
        </w:rPr>
        <w:drawing>
          <wp:anchor distT="0" distB="0" distL="114300" distR="114300" simplePos="0" relativeHeight="251659264" behindDoc="1" locked="0" layoutInCell="1" allowOverlap="1" wp14:anchorId="523E3B38" wp14:editId="3872A22B">
            <wp:simplePos x="0" y="0"/>
            <wp:positionH relativeFrom="column">
              <wp:posOffset>2333625</wp:posOffset>
            </wp:positionH>
            <wp:positionV relativeFrom="paragraph">
              <wp:posOffset>0</wp:posOffset>
            </wp:positionV>
            <wp:extent cx="1247775" cy="1101090"/>
            <wp:effectExtent l="0" t="0" r="9525" b="3810"/>
            <wp:wrapTight wrapText="bothSides">
              <wp:wrapPolygon edited="0">
                <wp:start x="0" y="0"/>
                <wp:lineTo x="0" y="21301"/>
                <wp:lineTo x="21435" y="21301"/>
                <wp:lineTo x="21435" y="0"/>
                <wp:lineTo x="0" y="0"/>
              </wp:wrapPolygon>
            </wp:wrapTight>
            <wp:docPr id="1" name="Picture 1" descr="http://itchyrobot.co.uk/wp-content/uploads/2018/01/newportprimarylogooutl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chyrobot.co.uk/wp-content/uploads/2018/01/newportprimarylogooutlin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1101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1E5E" w:rsidRDefault="00231E5E" w:rsidP="00231E5E">
      <w:pPr>
        <w:pStyle w:val="Default"/>
        <w:rPr>
          <w:rFonts w:ascii="Arial" w:hAnsi="Arial" w:cs="Arial"/>
          <w:iCs/>
        </w:rPr>
      </w:pPr>
    </w:p>
    <w:p w:rsidR="00231E5E" w:rsidRDefault="00231E5E" w:rsidP="00231E5E">
      <w:pPr>
        <w:pStyle w:val="Default"/>
        <w:rPr>
          <w:rFonts w:ascii="Arial" w:hAnsi="Arial" w:cs="Arial"/>
          <w:iCs/>
        </w:rPr>
      </w:pPr>
    </w:p>
    <w:p w:rsidR="00231E5E" w:rsidRDefault="00231E5E" w:rsidP="00231E5E">
      <w:pPr>
        <w:pStyle w:val="Default"/>
        <w:rPr>
          <w:rFonts w:ascii="Arial" w:hAnsi="Arial" w:cs="Arial"/>
          <w:iCs/>
        </w:rPr>
      </w:pPr>
    </w:p>
    <w:p w:rsidR="00231E5E" w:rsidRDefault="00231E5E" w:rsidP="00231E5E">
      <w:pPr>
        <w:pStyle w:val="Default"/>
        <w:rPr>
          <w:rFonts w:ascii="Arial" w:hAnsi="Arial" w:cs="Arial"/>
          <w:iCs/>
        </w:rPr>
      </w:pPr>
    </w:p>
    <w:p w:rsidR="00231E5E" w:rsidRDefault="00231E5E" w:rsidP="00231E5E">
      <w:pPr>
        <w:pStyle w:val="Default"/>
        <w:rPr>
          <w:rFonts w:ascii="Arial" w:hAnsi="Arial" w:cs="Arial"/>
          <w:iCs/>
        </w:rPr>
      </w:pPr>
    </w:p>
    <w:p w:rsidR="00E34C5C" w:rsidRDefault="00E34C5C" w:rsidP="00E34C5C">
      <w:pPr>
        <w:pStyle w:val="Default"/>
        <w:jc w:val="center"/>
        <w:rPr>
          <w:rFonts w:ascii="Arial" w:hAnsi="Arial" w:cs="Arial"/>
          <w:b/>
          <w:iCs/>
        </w:rPr>
      </w:pPr>
      <w:r>
        <w:rPr>
          <w:rFonts w:ascii="Arial" w:hAnsi="Arial" w:cs="Arial"/>
          <w:b/>
          <w:iCs/>
        </w:rPr>
        <w:tab/>
      </w:r>
    </w:p>
    <w:p w:rsidR="00231E5E" w:rsidRPr="00E34C5C" w:rsidRDefault="00231E5E" w:rsidP="00E34C5C">
      <w:pPr>
        <w:pStyle w:val="Default"/>
        <w:jc w:val="center"/>
        <w:rPr>
          <w:rFonts w:ascii="Arial" w:hAnsi="Arial" w:cs="Arial"/>
          <w:b/>
          <w:iCs/>
        </w:rPr>
      </w:pPr>
      <w:r w:rsidRPr="00E34C5C">
        <w:rPr>
          <w:rFonts w:ascii="Arial" w:hAnsi="Arial" w:cs="Arial"/>
          <w:b/>
          <w:iCs/>
        </w:rPr>
        <w:t xml:space="preserve">EQUALITY </w:t>
      </w:r>
      <w:r w:rsidR="00E34C5C" w:rsidRPr="00E34C5C">
        <w:rPr>
          <w:rFonts w:ascii="Arial" w:hAnsi="Arial" w:cs="Arial"/>
          <w:b/>
          <w:iCs/>
        </w:rPr>
        <w:t>OBJECTIVES</w:t>
      </w:r>
      <w:r w:rsidR="001F2B27">
        <w:rPr>
          <w:rFonts w:ascii="Arial" w:hAnsi="Arial" w:cs="Arial"/>
          <w:b/>
          <w:iCs/>
        </w:rPr>
        <w:t xml:space="preserve"> 2017 - 2020</w:t>
      </w:r>
    </w:p>
    <w:p w:rsidR="00231E5E" w:rsidRDefault="00231E5E" w:rsidP="00231E5E">
      <w:pPr>
        <w:pStyle w:val="Default"/>
        <w:rPr>
          <w:rFonts w:ascii="Arial" w:hAnsi="Arial" w:cs="Arial"/>
          <w:iCs/>
        </w:rPr>
      </w:pPr>
    </w:p>
    <w:p w:rsidR="00231E5E" w:rsidRDefault="00231E5E" w:rsidP="00E34C5C">
      <w:pPr>
        <w:pStyle w:val="Default"/>
        <w:numPr>
          <w:ilvl w:val="0"/>
          <w:numId w:val="4"/>
        </w:numPr>
        <w:rPr>
          <w:rFonts w:ascii="Arial" w:hAnsi="Arial" w:cs="Arial"/>
          <w:b/>
          <w:iCs/>
        </w:rPr>
      </w:pPr>
      <w:r w:rsidRPr="00E34C5C">
        <w:rPr>
          <w:rFonts w:ascii="Arial" w:hAnsi="Arial" w:cs="Arial"/>
          <w:b/>
          <w:iCs/>
        </w:rPr>
        <w:t xml:space="preserve">Overview </w:t>
      </w:r>
    </w:p>
    <w:p w:rsidR="00E34C5C" w:rsidRPr="00E34C5C" w:rsidRDefault="00E34C5C" w:rsidP="00E34C5C">
      <w:pPr>
        <w:pStyle w:val="Default"/>
        <w:ind w:left="720"/>
        <w:rPr>
          <w:rFonts w:ascii="Arial" w:hAnsi="Arial" w:cs="Arial"/>
          <w:b/>
        </w:rPr>
      </w:pPr>
    </w:p>
    <w:p w:rsidR="00231E5E" w:rsidRPr="00231E5E" w:rsidRDefault="00231E5E" w:rsidP="00E34C5C">
      <w:pPr>
        <w:pStyle w:val="Default"/>
        <w:jc w:val="both"/>
        <w:rPr>
          <w:rFonts w:ascii="Arial" w:hAnsi="Arial" w:cs="Arial"/>
        </w:rPr>
      </w:pPr>
      <w:r w:rsidRPr="00231E5E">
        <w:rPr>
          <w:rFonts w:ascii="Arial" w:hAnsi="Arial" w:cs="Arial"/>
        </w:rPr>
        <w:t xml:space="preserve">The Single Equality Act, which came into place on October 1st, 2010, brought together the duties set out in our Race, Disability and Gender policies into one single Public Sector Equality Duty. The Single Equality Act combines the existing three duties into one new Public Sector Equality Duty that covers all nine of the protected characteristics: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Age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Disability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Gender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Gender-identity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Race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Pregnancy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Maternity </w:t>
      </w:r>
    </w:p>
    <w:p w:rsidR="00231E5E" w:rsidRPr="00231E5E" w:rsidRDefault="00231E5E" w:rsidP="00E34C5C">
      <w:pPr>
        <w:pStyle w:val="Default"/>
        <w:numPr>
          <w:ilvl w:val="0"/>
          <w:numId w:val="3"/>
        </w:numPr>
        <w:spacing w:after="37"/>
        <w:jc w:val="both"/>
        <w:rPr>
          <w:rFonts w:ascii="Arial" w:hAnsi="Arial" w:cs="Arial"/>
        </w:rPr>
      </w:pPr>
      <w:r w:rsidRPr="00231E5E">
        <w:rPr>
          <w:rFonts w:ascii="Arial" w:hAnsi="Arial" w:cs="Arial"/>
        </w:rPr>
        <w:t xml:space="preserve">Religion or belief </w:t>
      </w:r>
    </w:p>
    <w:p w:rsidR="00231E5E" w:rsidRPr="00231E5E" w:rsidRDefault="00231E5E" w:rsidP="00E34C5C">
      <w:pPr>
        <w:pStyle w:val="Default"/>
        <w:numPr>
          <w:ilvl w:val="0"/>
          <w:numId w:val="3"/>
        </w:numPr>
        <w:jc w:val="both"/>
        <w:rPr>
          <w:rFonts w:ascii="Arial" w:hAnsi="Arial" w:cs="Arial"/>
        </w:rPr>
      </w:pPr>
      <w:r w:rsidRPr="00231E5E">
        <w:rPr>
          <w:rFonts w:ascii="Arial" w:hAnsi="Arial" w:cs="Arial"/>
        </w:rPr>
        <w:t xml:space="preserve">Sexual orientation </w:t>
      </w:r>
    </w:p>
    <w:p w:rsidR="00231E5E" w:rsidRPr="00231E5E" w:rsidRDefault="00231E5E" w:rsidP="00E34C5C">
      <w:pPr>
        <w:pStyle w:val="Default"/>
        <w:jc w:val="both"/>
        <w:rPr>
          <w:rFonts w:ascii="Arial" w:hAnsi="Arial" w:cs="Arial"/>
        </w:rPr>
      </w:pPr>
    </w:p>
    <w:p w:rsidR="00231E5E" w:rsidRPr="00231E5E" w:rsidRDefault="00231E5E" w:rsidP="00E34C5C">
      <w:pPr>
        <w:pStyle w:val="Default"/>
        <w:jc w:val="both"/>
        <w:rPr>
          <w:rFonts w:ascii="Arial" w:hAnsi="Arial" w:cs="Arial"/>
        </w:rPr>
      </w:pPr>
      <w:r w:rsidRPr="00231E5E">
        <w:rPr>
          <w:rFonts w:ascii="Arial" w:hAnsi="Arial" w:cs="Arial"/>
        </w:rPr>
        <w:t xml:space="preserve">At </w:t>
      </w:r>
      <w:r w:rsidR="00E34C5C">
        <w:rPr>
          <w:rFonts w:ascii="Arial" w:hAnsi="Arial" w:cs="Arial"/>
        </w:rPr>
        <w:t>Newport</w:t>
      </w:r>
      <w:r w:rsidRPr="00231E5E">
        <w:rPr>
          <w:rFonts w:ascii="Arial" w:hAnsi="Arial" w:cs="Arial"/>
        </w:rPr>
        <w:t xml:space="preserve"> Primary School we will ensure that at every level, in all our work and throughout all aspects of the school community and its life, all will be treated equally. </w:t>
      </w:r>
    </w:p>
    <w:p w:rsidR="00231E5E" w:rsidRDefault="00231E5E" w:rsidP="00E34C5C">
      <w:pPr>
        <w:pStyle w:val="Default"/>
        <w:jc w:val="both"/>
        <w:rPr>
          <w:rFonts w:ascii="Arial" w:hAnsi="Arial" w:cs="Arial"/>
        </w:rPr>
      </w:pPr>
      <w:r w:rsidRPr="00231E5E">
        <w:rPr>
          <w:rFonts w:ascii="Arial" w:hAnsi="Arial" w:cs="Arial"/>
        </w:rPr>
        <w:t xml:space="preserve">The new General Duty replaces the three existing public sector equality duties for disability, race and gender. It covers all protected characteristics and has three main aims requiring public bodies to have due regard to the need for: </w:t>
      </w:r>
    </w:p>
    <w:p w:rsidR="00E34C5C" w:rsidRPr="00231E5E" w:rsidRDefault="00E34C5C" w:rsidP="00231E5E">
      <w:pPr>
        <w:pStyle w:val="Default"/>
        <w:rPr>
          <w:rFonts w:ascii="Arial" w:hAnsi="Arial" w:cs="Arial"/>
        </w:rPr>
      </w:pPr>
    </w:p>
    <w:p w:rsidR="00231E5E" w:rsidRPr="00231E5E" w:rsidRDefault="00231E5E" w:rsidP="00E34C5C">
      <w:pPr>
        <w:pStyle w:val="Default"/>
        <w:jc w:val="both"/>
        <w:rPr>
          <w:rFonts w:ascii="Arial" w:hAnsi="Arial" w:cs="Arial"/>
        </w:rPr>
      </w:pPr>
      <w:r w:rsidRPr="00231E5E">
        <w:rPr>
          <w:rFonts w:ascii="Arial" w:hAnsi="Arial" w:cs="Arial"/>
        </w:rPr>
        <w:t xml:space="preserve">1. </w:t>
      </w:r>
      <w:r w:rsidR="00E34C5C">
        <w:rPr>
          <w:rFonts w:ascii="Arial" w:hAnsi="Arial" w:cs="Arial"/>
        </w:rPr>
        <w:tab/>
      </w:r>
      <w:r w:rsidRPr="00231E5E">
        <w:rPr>
          <w:rFonts w:ascii="Arial" w:hAnsi="Arial" w:cs="Arial"/>
        </w:rPr>
        <w:t xml:space="preserve">Eliminate discrimination, harassment, victimisation and other conduct that is </w:t>
      </w:r>
      <w:r w:rsidR="00E34C5C">
        <w:rPr>
          <w:rFonts w:ascii="Arial" w:hAnsi="Arial" w:cs="Arial"/>
        </w:rPr>
        <w:tab/>
      </w:r>
      <w:r w:rsidRPr="00231E5E">
        <w:rPr>
          <w:rFonts w:ascii="Arial" w:hAnsi="Arial" w:cs="Arial"/>
        </w:rPr>
        <w:t xml:space="preserve">prohibited under the Equality Act 2010. </w:t>
      </w:r>
    </w:p>
    <w:p w:rsidR="00231E5E" w:rsidRPr="00231E5E" w:rsidRDefault="00231E5E" w:rsidP="00E34C5C">
      <w:pPr>
        <w:pStyle w:val="Default"/>
        <w:jc w:val="both"/>
        <w:rPr>
          <w:rFonts w:ascii="Arial" w:hAnsi="Arial" w:cs="Arial"/>
        </w:rPr>
      </w:pPr>
      <w:r w:rsidRPr="00231E5E">
        <w:rPr>
          <w:rFonts w:ascii="Arial" w:hAnsi="Arial" w:cs="Arial"/>
        </w:rPr>
        <w:t xml:space="preserve">2. </w:t>
      </w:r>
      <w:r w:rsidR="00E34C5C">
        <w:rPr>
          <w:rFonts w:ascii="Arial" w:hAnsi="Arial" w:cs="Arial"/>
        </w:rPr>
        <w:tab/>
      </w:r>
      <w:r w:rsidRPr="00231E5E">
        <w:rPr>
          <w:rFonts w:ascii="Arial" w:hAnsi="Arial" w:cs="Arial"/>
        </w:rPr>
        <w:t xml:space="preserve">Advance equality of opportunity between persons who share a protected </w:t>
      </w:r>
      <w:r w:rsidR="00E34C5C">
        <w:rPr>
          <w:rFonts w:ascii="Arial" w:hAnsi="Arial" w:cs="Arial"/>
        </w:rPr>
        <w:tab/>
      </w:r>
      <w:r w:rsidRPr="00231E5E">
        <w:rPr>
          <w:rFonts w:ascii="Arial" w:hAnsi="Arial" w:cs="Arial"/>
        </w:rPr>
        <w:t xml:space="preserve">characteristic and persons who do not share it. </w:t>
      </w:r>
    </w:p>
    <w:p w:rsidR="00231E5E" w:rsidRPr="00231E5E" w:rsidRDefault="00231E5E" w:rsidP="00E34C5C">
      <w:pPr>
        <w:pStyle w:val="Default"/>
        <w:jc w:val="both"/>
        <w:rPr>
          <w:rFonts w:ascii="Arial" w:hAnsi="Arial" w:cs="Arial"/>
        </w:rPr>
      </w:pPr>
      <w:r w:rsidRPr="00231E5E">
        <w:rPr>
          <w:rFonts w:ascii="Arial" w:hAnsi="Arial" w:cs="Arial"/>
        </w:rPr>
        <w:t xml:space="preserve">3. </w:t>
      </w:r>
      <w:r w:rsidR="00E34C5C">
        <w:rPr>
          <w:rFonts w:ascii="Arial" w:hAnsi="Arial" w:cs="Arial"/>
        </w:rPr>
        <w:tab/>
      </w:r>
      <w:r w:rsidRPr="00231E5E">
        <w:rPr>
          <w:rFonts w:ascii="Arial" w:hAnsi="Arial" w:cs="Arial"/>
        </w:rPr>
        <w:t xml:space="preserve">Foster good relations between persons who share a protected characteristic </w:t>
      </w:r>
      <w:r w:rsidR="00E34C5C">
        <w:rPr>
          <w:rFonts w:ascii="Arial" w:hAnsi="Arial" w:cs="Arial"/>
        </w:rPr>
        <w:tab/>
      </w:r>
      <w:r w:rsidRPr="00231E5E">
        <w:rPr>
          <w:rFonts w:ascii="Arial" w:hAnsi="Arial" w:cs="Arial"/>
        </w:rPr>
        <w:t xml:space="preserve">and persons who do not share it. </w:t>
      </w:r>
    </w:p>
    <w:p w:rsidR="00E34C5C" w:rsidRDefault="00E34C5C" w:rsidP="00231E5E">
      <w:pPr>
        <w:pStyle w:val="Default"/>
        <w:rPr>
          <w:rFonts w:ascii="Arial" w:hAnsi="Arial" w:cs="Arial"/>
        </w:rPr>
      </w:pPr>
    </w:p>
    <w:p w:rsidR="00231E5E" w:rsidRPr="00231E5E" w:rsidRDefault="00E34C5C" w:rsidP="00231E5E">
      <w:pPr>
        <w:pStyle w:val="Default"/>
        <w:rPr>
          <w:rFonts w:ascii="Arial" w:hAnsi="Arial" w:cs="Arial"/>
        </w:rPr>
      </w:pPr>
      <w:r>
        <w:rPr>
          <w:rFonts w:ascii="Arial" w:hAnsi="Arial" w:cs="Arial"/>
        </w:rPr>
        <w:t>Newport</w:t>
      </w:r>
      <w:r w:rsidR="00231E5E" w:rsidRPr="00231E5E">
        <w:rPr>
          <w:rFonts w:ascii="Arial" w:hAnsi="Arial" w:cs="Arial"/>
        </w:rPr>
        <w:t xml:space="preserve"> Primary School is committed to: </w:t>
      </w:r>
    </w:p>
    <w:p w:rsidR="00231E5E" w:rsidRPr="00231E5E" w:rsidRDefault="00E34C5C" w:rsidP="00C353FE">
      <w:pPr>
        <w:pStyle w:val="Default"/>
        <w:numPr>
          <w:ilvl w:val="0"/>
          <w:numId w:val="3"/>
        </w:numPr>
        <w:spacing w:after="37"/>
        <w:rPr>
          <w:rFonts w:ascii="Arial" w:hAnsi="Arial" w:cs="Arial"/>
        </w:rPr>
      </w:pPr>
      <w:r>
        <w:rPr>
          <w:rFonts w:ascii="Arial" w:hAnsi="Arial" w:cs="Arial"/>
        </w:rPr>
        <w:t xml:space="preserve">Ensuring </w:t>
      </w:r>
      <w:r w:rsidR="00C353FE">
        <w:rPr>
          <w:rFonts w:ascii="Arial" w:hAnsi="Arial" w:cs="Arial"/>
        </w:rPr>
        <w:t>all pupils are given opportunities to meet their full potential in a safe, nurturing environment</w:t>
      </w:r>
    </w:p>
    <w:p w:rsidR="00231E5E" w:rsidRPr="00231E5E" w:rsidRDefault="00231E5E" w:rsidP="00C353FE">
      <w:pPr>
        <w:pStyle w:val="Default"/>
        <w:numPr>
          <w:ilvl w:val="0"/>
          <w:numId w:val="3"/>
        </w:numPr>
        <w:spacing w:after="37"/>
        <w:rPr>
          <w:rFonts w:ascii="Arial" w:hAnsi="Arial" w:cs="Arial"/>
        </w:rPr>
      </w:pPr>
      <w:r w:rsidRPr="00231E5E">
        <w:rPr>
          <w:rFonts w:ascii="Arial" w:hAnsi="Arial" w:cs="Arial"/>
        </w:rPr>
        <w:t xml:space="preserve">Closing the gap in attainment for all children </w:t>
      </w:r>
    </w:p>
    <w:p w:rsidR="00231E5E" w:rsidRPr="00231E5E" w:rsidRDefault="00231E5E" w:rsidP="00C353FE">
      <w:pPr>
        <w:pStyle w:val="Default"/>
        <w:numPr>
          <w:ilvl w:val="0"/>
          <w:numId w:val="3"/>
        </w:numPr>
        <w:spacing w:after="37"/>
        <w:rPr>
          <w:rFonts w:ascii="Arial" w:hAnsi="Arial" w:cs="Arial"/>
        </w:rPr>
      </w:pPr>
      <w:r w:rsidRPr="00231E5E">
        <w:rPr>
          <w:rFonts w:ascii="Arial" w:hAnsi="Arial" w:cs="Arial"/>
        </w:rPr>
        <w:t xml:space="preserve">Engagement with local communities </w:t>
      </w:r>
    </w:p>
    <w:p w:rsidR="00231E5E" w:rsidRPr="00231E5E" w:rsidRDefault="00231E5E" w:rsidP="00C353FE">
      <w:pPr>
        <w:pStyle w:val="Default"/>
        <w:numPr>
          <w:ilvl w:val="0"/>
          <w:numId w:val="3"/>
        </w:numPr>
        <w:rPr>
          <w:rFonts w:ascii="Arial" w:hAnsi="Arial" w:cs="Arial"/>
        </w:rPr>
      </w:pPr>
      <w:r w:rsidRPr="00231E5E">
        <w:rPr>
          <w:rFonts w:ascii="Arial" w:hAnsi="Arial" w:cs="Arial"/>
        </w:rPr>
        <w:t xml:space="preserve">Policies and practices that promote equality and address inequalities </w:t>
      </w:r>
    </w:p>
    <w:p w:rsidR="00231E5E" w:rsidRPr="00231E5E" w:rsidRDefault="00231E5E" w:rsidP="00231E5E">
      <w:pPr>
        <w:pStyle w:val="Default"/>
        <w:rPr>
          <w:rFonts w:ascii="Arial" w:hAnsi="Arial" w:cs="Arial"/>
        </w:rPr>
      </w:pPr>
    </w:p>
    <w:p w:rsidR="00F719CE" w:rsidRDefault="00231E5E" w:rsidP="00C353FE">
      <w:pPr>
        <w:jc w:val="both"/>
        <w:rPr>
          <w:rFonts w:ascii="Arial" w:hAnsi="Arial" w:cs="Arial"/>
          <w:sz w:val="24"/>
          <w:szCs w:val="24"/>
        </w:rPr>
      </w:pPr>
      <w:r w:rsidRPr="00231E5E">
        <w:rPr>
          <w:rFonts w:ascii="Arial" w:hAnsi="Arial" w:cs="Arial"/>
          <w:sz w:val="24"/>
          <w:szCs w:val="24"/>
        </w:rPr>
        <w:t xml:space="preserve">The Leadership Team and Governors at </w:t>
      </w:r>
      <w:r w:rsidR="00BD3B30">
        <w:rPr>
          <w:rFonts w:ascii="Arial" w:hAnsi="Arial" w:cs="Arial"/>
          <w:sz w:val="24"/>
          <w:szCs w:val="24"/>
        </w:rPr>
        <w:t>Newport</w:t>
      </w:r>
      <w:bookmarkStart w:id="0" w:name="_GoBack"/>
      <w:bookmarkEnd w:id="0"/>
      <w:r w:rsidRPr="00231E5E">
        <w:rPr>
          <w:rFonts w:ascii="Arial" w:hAnsi="Arial" w:cs="Arial"/>
          <w:sz w:val="24"/>
          <w:szCs w:val="24"/>
        </w:rPr>
        <w:t xml:space="preserve"> Primary School will annually review how well we achieve these aims with regard to the protected groups under the Equality Act.</w:t>
      </w:r>
    </w:p>
    <w:tbl>
      <w:tblPr>
        <w:tblStyle w:val="TableGrid"/>
        <w:tblpPr w:leftFromText="180" w:rightFromText="180" w:horzAnchor="margin" w:tblpY="705"/>
        <w:tblW w:w="0" w:type="auto"/>
        <w:tblLook w:val="04A0" w:firstRow="1" w:lastRow="0" w:firstColumn="1" w:lastColumn="0" w:noHBand="0" w:noVBand="1"/>
      </w:tblPr>
      <w:tblGrid>
        <w:gridCol w:w="3005"/>
        <w:gridCol w:w="1536"/>
        <w:gridCol w:w="4475"/>
      </w:tblGrid>
      <w:tr w:rsidR="00C353FE" w:rsidTr="001F2B27">
        <w:tc>
          <w:tcPr>
            <w:tcW w:w="3005" w:type="dxa"/>
            <w:shd w:val="clear" w:color="auto" w:fill="DEEAF6" w:themeFill="accent1" w:themeFillTint="33"/>
          </w:tcPr>
          <w:p w:rsidR="00C353FE" w:rsidRPr="00C353FE" w:rsidRDefault="00C353FE" w:rsidP="001F2B27">
            <w:pPr>
              <w:pStyle w:val="Default"/>
              <w:jc w:val="center"/>
              <w:rPr>
                <w:rFonts w:ascii="Arial" w:hAnsi="Arial" w:cs="Arial"/>
                <w:b/>
                <w:szCs w:val="22"/>
              </w:rPr>
            </w:pPr>
            <w:r w:rsidRPr="00C353FE">
              <w:rPr>
                <w:rFonts w:ascii="Arial" w:hAnsi="Arial" w:cs="Arial"/>
                <w:b/>
                <w:bCs/>
                <w:szCs w:val="22"/>
              </w:rPr>
              <w:lastRenderedPageBreak/>
              <w:t>Objective</w:t>
            </w:r>
          </w:p>
          <w:p w:rsidR="00C353FE" w:rsidRPr="00C353FE" w:rsidRDefault="00C353FE" w:rsidP="001F2B27">
            <w:pPr>
              <w:jc w:val="center"/>
              <w:rPr>
                <w:rFonts w:ascii="Arial" w:hAnsi="Arial" w:cs="Arial"/>
                <w:b/>
                <w:sz w:val="24"/>
                <w:szCs w:val="24"/>
              </w:rPr>
            </w:pPr>
          </w:p>
        </w:tc>
        <w:tc>
          <w:tcPr>
            <w:tcW w:w="1536" w:type="dxa"/>
            <w:shd w:val="clear" w:color="auto" w:fill="DEEAF6" w:themeFill="accent1" w:themeFillTint="33"/>
          </w:tcPr>
          <w:p w:rsidR="00C353FE" w:rsidRPr="00C353FE" w:rsidRDefault="00C353FE" w:rsidP="001F2B27">
            <w:pPr>
              <w:pStyle w:val="Default"/>
              <w:jc w:val="center"/>
              <w:rPr>
                <w:rFonts w:ascii="Arial" w:hAnsi="Arial" w:cs="Arial"/>
                <w:b/>
                <w:szCs w:val="18"/>
              </w:rPr>
            </w:pPr>
            <w:r w:rsidRPr="00C353FE">
              <w:rPr>
                <w:rFonts w:ascii="Arial" w:hAnsi="Arial" w:cs="Arial"/>
                <w:b/>
                <w:bCs/>
                <w:szCs w:val="18"/>
              </w:rPr>
              <w:t>Link(s) to UN Convention on the Rights of the Child</w:t>
            </w:r>
          </w:p>
        </w:tc>
        <w:tc>
          <w:tcPr>
            <w:tcW w:w="4475" w:type="dxa"/>
            <w:shd w:val="clear" w:color="auto" w:fill="DEEAF6" w:themeFill="accent1" w:themeFillTint="33"/>
          </w:tcPr>
          <w:p w:rsidR="00C353FE" w:rsidRPr="00C353FE" w:rsidRDefault="00C353FE" w:rsidP="001F2B27">
            <w:pPr>
              <w:jc w:val="center"/>
              <w:rPr>
                <w:rFonts w:ascii="Arial" w:hAnsi="Arial" w:cs="Arial"/>
                <w:b/>
                <w:sz w:val="24"/>
                <w:szCs w:val="24"/>
              </w:rPr>
            </w:pPr>
            <w:r w:rsidRPr="00C353FE">
              <w:rPr>
                <w:rFonts w:ascii="Arial" w:hAnsi="Arial" w:cs="Arial"/>
                <w:b/>
                <w:sz w:val="24"/>
                <w:szCs w:val="24"/>
              </w:rPr>
              <w:t>Action</w:t>
            </w:r>
          </w:p>
        </w:tc>
      </w:tr>
      <w:tr w:rsidR="00C353FE" w:rsidTr="001F2B27">
        <w:tc>
          <w:tcPr>
            <w:tcW w:w="3005" w:type="dxa"/>
            <w:shd w:val="clear" w:color="auto" w:fill="FFFFFF" w:themeFill="background1"/>
          </w:tcPr>
          <w:p w:rsidR="00C353FE" w:rsidRPr="00C353FE" w:rsidRDefault="00C353FE" w:rsidP="001F2B27">
            <w:pPr>
              <w:pStyle w:val="Default"/>
              <w:jc w:val="both"/>
              <w:rPr>
                <w:rFonts w:ascii="Arial" w:hAnsi="Arial" w:cs="Arial"/>
                <w:szCs w:val="20"/>
              </w:rPr>
            </w:pPr>
            <w:r w:rsidRPr="00C353FE">
              <w:rPr>
                <w:rFonts w:ascii="Arial" w:hAnsi="Arial" w:cs="Arial"/>
                <w:szCs w:val="20"/>
              </w:rPr>
              <w:t>Ensure that good or better progress is made by ‘disadvantaged pupils’ in reading, writing and maths</w:t>
            </w:r>
            <w:r>
              <w:rPr>
                <w:rFonts w:ascii="Arial" w:hAnsi="Arial" w:cs="Arial"/>
                <w:szCs w:val="20"/>
              </w:rPr>
              <w:t>.</w:t>
            </w:r>
            <w:r w:rsidRPr="00C353FE">
              <w:rPr>
                <w:rFonts w:ascii="Arial" w:hAnsi="Arial" w:cs="Arial"/>
                <w:szCs w:val="20"/>
              </w:rPr>
              <w:t xml:space="preserve"> </w:t>
            </w:r>
          </w:p>
          <w:p w:rsidR="00C353FE" w:rsidRPr="00C353FE" w:rsidRDefault="00C353FE" w:rsidP="001F2B27">
            <w:pPr>
              <w:pStyle w:val="Default"/>
              <w:rPr>
                <w:rFonts w:ascii="Arial" w:hAnsi="Arial" w:cs="Arial"/>
                <w:b/>
                <w:bCs/>
                <w:szCs w:val="22"/>
              </w:rPr>
            </w:pPr>
          </w:p>
        </w:tc>
        <w:tc>
          <w:tcPr>
            <w:tcW w:w="1536" w:type="dxa"/>
            <w:shd w:val="clear" w:color="auto" w:fill="FFFFFF" w:themeFill="background1"/>
          </w:tcPr>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2 </w:t>
            </w:r>
          </w:p>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12 </w:t>
            </w:r>
          </w:p>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17 </w:t>
            </w:r>
          </w:p>
          <w:p w:rsidR="00C353FE" w:rsidRPr="001F2B27" w:rsidRDefault="001F2B27" w:rsidP="001F2B27">
            <w:pPr>
              <w:pStyle w:val="Default"/>
              <w:jc w:val="both"/>
              <w:rPr>
                <w:rFonts w:ascii="Arial" w:hAnsi="Arial" w:cs="Arial"/>
                <w:szCs w:val="20"/>
              </w:rPr>
            </w:pPr>
            <w:r w:rsidRPr="001F2B27">
              <w:rPr>
                <w:rFonts w:ascii="Arial" w:hAnsi="Arial" w:cs="Arial"/>
                <w:szCs w:val="20"/>
              </w:rPr>
              <w:t xml:space="preserve">Article 28 </w:t>
            </w:r>
          </w:p>
        </w:tc>
        <w:tc>
          <w:tcPr>
            <w:tcW w:w="4475" w:type="dxa"/>
            <w:shd w:val="clear" w:color="auto" w:fill="FFFFFF" w:themeFill="background1"/>
          </w:tcPr>
          <w:p w:rsidR="00C353FE" w:rsidRPr="00C353FE" w:rsidRDefault="00C353FE" w:rsidP="001F2B27">
            <w:pPr>
              <w:pStyle w:val="Default"/>
              <w:numPr>
                <w:ilvl w:val="0"/>
                <w:numId w:val="6"/>
              </w:numPr>
              <w:rPr>
                <w:rFonts w:ascii="Arial" w:hAnsi="Arial" w:cs="Arial"/>
                <w:szCs w:val="20"/>
              </w:rPr>
            </w:pPr>
            <w:r w:rsidRPr="00C353FE">
              <w:rPr>
                <w:rFonts w:ascii="Arial" w:hAnsi="Arial" w:cs="Arial"/>
                <w:szCs w:val="20"/>
              </w:rPr>
              <w:t xml:space="preserve">Ensure rigorous monitoring and use of data </w:t>
            </w:r>
            <w:r>
              <w:rPr>
                <w:rFonts w:ascii="Arial" w:hAnsi="Arial" w:cs="Arial"/>
                <w:szCs w:val="20"/>
              </w:rPr>
              <w:t xml:space="preserve">to analyse progress of pupil premium pupils </w:t>
            </w:r>
          </w:p>
          <w:p w:rsidR="001F2B27" w:rsidRPr="001F2B27" w:rsidRDefault="001F2B27" w:rsidP="001F2B27">
            <w:pPr>
              <w:pStyle w:val="Default"/>
              <w:numPr>
                <w:ilvl w:val="0"/>
                <w:numId w:val="6"/>
              </w:numPr>
              <w:rPr>
                <w:rFonts w:ascii="Arial" w:hAnsi="Arial" w:cs="Arial"/>
                <w:szCs w:val="20"/>
              </w:rPr>
            </w:pPr>
            <w:r w:rsidRPr="001F2B27">
              <w:rPr>
                <w:rFonts w:ascii="Arial" w:hAnsi="Arial" w:cs="Arial"/>
                <w:szCs w:val="20"/>
              </w:rPr>
              <w:t>Use targeted intervention and pre/post teaching strategies for identified pupils</w:t>
            </w:r>
          </w:p>
          <w:p w:rsidR="00C353FE" w:rsidRPr="00C353FE" w:rsidRDefault="001F2B27" w:rsidP="001F2B27">
            <w:pPr>
              <w:pStyle w:val="Default"/>
              <w:numPr>
                <w:ilvl w:val="0"/>
                <w:numId w:val="6"/>
              </w:numPr>
              <w:rPr>
                <w:rFonts w:ascii="Arial" w:hAnsi="Arial" w:cs="Arial"/>
                <w:b/>
              </w:rPr>
            </w:pPr>
            <w:r w:rsidRPr="001F2B27">
              <w:rPr>
                <w:rFonts w:ascii="Arial" w:hAnsi="Arial" w:cs="Arial"/>
                <w:szCs w:val="20"/>
              </w:rPr>
              <w:t>Undertake planning scrutinies to ensure pupil premium pupils are receiving quality-first teaching</w:t>
            </w:r>
            <w:r w:rsidR="00C353FE" w:rsidRPr="00C353FE">
              <w:rPr>
                <w:szCs w:val="20"/>
              </w:rPr>
              <w:t xml:space="preserve"> </w:t>
            </w:r>
          </w:p>
        </w:tc>
      </w:tr>
      <w:tr w:rsidR="00C353FE" w:rsidTr="001F2B27">
        <w:tc>
          <w:tcPr>
            <w:tcW w:w="3005" w:type="dxa"/>
            <w:shd w:val="clear" w:color="auto" w:fill="FFFFFF" w:themeFill="background1"/>
          </w:tcPr>
          <w:p w:rsidR="001F2B27" w:rsidRPr="001F2B27" w:rsidRDefault="001F2B27" w:rsidP="001F2B27">
            <w:pPr>
              <w:pStyle w:val="Default"/>
              <w:jc w:val="both"/>
              <w:rPr>
                <w:rFonts w:ascii="Arial" w:hAnsi="Arial" w:cs="Arial"/>
                <w:szCs w:val="20"/>
              </w:rPr>
            </w:pPr>
            <w:r w:rsidRPr="001F2B27">
              <w:rPr>
                <w:rFonts w:ascii="Arial" w:hAnsi="Arial" w:cs="Arial"/>
                <w:szCs w:val="20"/>
              </w:rPr>
              <w:t>Ensure that boys make accelerated progress and narrow the gender gap in identified subject areas</w:t>
            </w:r>
            <w:r>
              <w:rPr>
                <w:rFonts w:ascii="Arial" w:hAnsi="Arial" w:cs="Arial"/>
                <w:szCs w:val="20"/>
              </w:rPr>
              <w:t>.</w:t>
            </w:r>
          </w:p>
          <w:p w:rsidR="00C353FE" w:rsidRPr="00C353FE" w:rsidRDefault="00C353FE" w:rsidP="001F2B27">
            <w:pPr>
              <w:pStyle w:val="Default"/>
              <w:jc w:val="both"/>
              <w:rPr>
                <w:rFonts w:ascii="Arial" w:hAnsi="Arial" w:cs="Arial"/>
                <w:szCs w:val="20"/>
              </w:rPr>
            </w:pPr>
          </w:p>
        </w:tc>
        <w:tc>
          <w:tcPr>
            <w:tcW w:w="1536" w:type="dxa"/>
            <w:shd w:val="clear" w:color="auto" w:fill="FFFFFF" w:themeFill="background1"/>
          </w:tcPr>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2 </w:t>
            </w:r>
          </w:p>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12 </w:t>
            </w:r>
          </w:p>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17 </w:t>
            </w:r>
          </w:p>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Article 28 </w:t>
            </w:r>
          </w:p>
          <w:p w:rsidR="00C353FE" w:rsidRPr="001F2B27" w:rsidRDefault="001F2B27" w:rsidP="001F2B27">
            <w:pPr>
              <w:pStyle w:val="Default"/>
              <w:jc w:val="both"/>
              <w:rPr>
                <w:rFonts w:ascii="Arial" w:hAnsi="Arial" w:cs="Arial"/>
                <w:szCs w:val="20"/>
              </w:rPr>
            </w:pPr>
            <w:r w:rsidRPr="001F2B27">
              <w:rPr>
                <w:rFonts w:ascii="Arial" w:hAnsi="Arial" w:cs="Arial"/>
                <w:szCs w:val="20"/>
              </w:rPr>
              <w:t xml:space="preserve">Article 29 </w:t>
            </w:r>
          </w:p>
        </w:tc>
        <w:tc>
          <w:tcPr>
            <w:tcW w:w="4475" w:type="dxa"/>
            <w:shd w:val="clear" w:color="auto" w:fill="FFFFFF" w:themeFill="background1"/>
          </w:tcPr>
          <w:p w:rsidR="001F2B27" w:rsidRPr="001F2B27" w:rsidRDefault="001F2B27" w:rsidP="001F2B27">
            <w:pPr>
              <w:pStyle w:val="Default"/>
              <w:numPr>
                <w:ilvl w:val="0"/>
                <w:numId w:val="6"/>
              </w:numPr>
              <w:rPr>
                <w:rFonts w:ascii="Arial" w:hAnsi="Arial" w:cs="Arial"/>
                <w:szCs w:val="20"/>
              </w:rPr>
            </w:pPr>
            <w:r w:rsidRPr="001F2B27">
              <w:rPr>
                <w:rFonts w:ascii="Arial" w:hAnsi="Arial" w:cs="Arial"/>
                <w:szCs w:val="20"/>
              </w:rPr>
              <w:t xml:space="preserve">Ensure rigorous monitoring and use of data </w:t>
            </w:r>
          </w:p>
          <w:p w:rsidR="001F2B27" w:rsidRPr="001F2B27" w:rsidRDefault="001F2B27" w:rsidP="001F2B27">
            <w:pPr>
              <w:pStyle w:val="Default"/>
              <w:numPr>
                <w:ilvl w:val="0"/>
                <w:numId w:val="6"/>
              </w:numPr>
              <w:rPr>
                <w:rFonts w:ascii="Arial" w:hAnsi="Arial" w:cs="Arial"/>
                <w:szCs w:val="20"/>
              </w:rPr>
            </w:pPr>
            <w:r w:rsidRPr="001F2B27">
              <w:rPr>
                <w:rFonts w:ascii="Arial" w:hAnsi="Arial" w:cs="Arial"/>
                <w:szCs w:val="20"/>
              </w:rPr>
              <w:t xml:space="preserve">Further raise boys aspirations using engagement programmes </w:t>
            </w:r>
          </w:p>
          <w:p w:rsidR="001F2B27" w:rsidRPr="001F2B27" w:rsidRDefault="001F2B27" w:rsidP="001F2B27">
            <w:pPr>
              <w:pStyle w:val="Default"/>
              <w:numPr>
                <w:ilvl w:val="0"/>
                <w:numId w:val="6"/>
              </w:numPr>
              <w:rPr>
                <w:rFonts w:ascii="Arial" w:hAnsi="Arial" w:cs="Arial"/>
                <w:szCs w:val="20"/>
              </w:rPr>
            </w:pPr>
            <w:r w:rsidRPr="001F2B27">
              <w:rPr>
                <w:rFonts w:ascii="Arial" w:hAnsi="Arial" w:cs="Arial"/>
                <w:szCs w:val="20"/>
              </w:rPr>
              <w:t xml:space="preserve">Ensure appropriate and effective classroom interventions are in place </w:t>
            </w:r>
          </w:p>
          <w:p w:rsidR="00C353FE" w:rsidRPr="00C353FE" w:rsidRDefault="001F2B27" w:rsidP="001F2B27">
            <w:pPr>
              <w:pStyle w:val="Default"/>
              <w:numPr>
                <w:ilvl w:val="0"/>
                <w:numId w:val="6"/>
              </w:numPr>
              <w:rPr>
                <w:rFonts w:ascii="Arial" w:hAnsi="Arial" w:cs="Arial"/>
                <w:b/>
              </w:rPr>
            </w:pPr>
            <w:r w:rsidRPr="001F2B27">
              <w:rPr>
                <w:rFonts w:ascii="Arial" w:hAnsi="Arial" w:cs="Arial"/>
                <w:szCs w:val="20"/>
              </w:rPr>
              <w:t>Develop ‘boy-friendly’ environments (i.e. resources, activities, role models, competition, challenge etc.)</w:t>
            </w:r>
            <w:r>
              <w:rPr>
                <w:sz w:val="20"/>
                <w:szCs w:val="20"/>
              </w:rPr>
              <w:t xml:space="preserve"> </w:t>
            </w:r>
          </w:p>
        </w:tc>
      </w:tr>
      <w:tr w:rsidR="00C353FE" w:rsidTr="001F2B27">
        <w:tc>
          <w:tcPr>
            <w:tcW w:w="3005" w:type="dxa"/>
            <w:shd w:val="clear" w:color="auto" w:fill="FFFFFF" w:themeFill="background1"/>
          </w:tcPr>
          <w:p w:rsidR="001F2B27" w:rsidRPr="001F2B27" w:rsidRDefault="001F2B27" w:rsidP="001F2B27">
            <w:pPr>
              <w:pStyle w:val="Default"/>
              <w:jc w:val="both"/>
              <w:rPr>
                <w:rFonts w:ascii="Arial" w:hAnsi="Arial" w:cs="Arial"/>
                <w:szCs w:val="20"/>
              </w:rPr>
            </w:pPr>
            <w:r w:rsidRPr="001F2B27">
              <w:rPr>
                <w:rFonts w:ascii="Arial" w:hAnsi="Arial" w:cs="Arial"/>
                <w:szCs w:val="20"/>
              </w:rPr>
              <w:t xml:space="preserve">Identify specific strategies to support those pupils who find learning difficult. </w:t>
            </w:r>
          </w:p>
          <w:p w:rsidR="00C353FE" w:rsidRPr="00C353FE" w:rsidRDefault="00C353FE" w:rsidP="001F2B27">
            <w:pPr>
              <w:pStyle w:val="Default"/>
              <w:jc w:val="both"/>
              <w:rPr>
                <w:rFonts w:ascii="Arial" w:hAnsi="Arial" w:cs="Arial"/>
                <w:szCs w:val="20"/>
              </w:rPr>
            </w:pPr>
          </w:p>
        </w:tc>
        <w:tc>
          <w:tcPr>
            <w:tcW w:w="1536" w:type="dxa"/>
            <w:shd w:val="clear" w:color="auto" w:fill="FFFFFF" w:themeFill="background1"/>
          </w:tcPr>
          <w:p w:rsidR="001F2B27" w:rsidRPr="001F2B27" w:rsidRDefault="001F2B27" w:rsidP="001F2B27">
            <w:pPr>
              <w:pStyle w:val="Default"/>
              <w:rPr>
                <w:rFonts w:ascii="Arial" w:hAnsi="Arial" w:cs="Arial"/>
                <w:szCs w:val="20"/>
              </w:rPr>
            </w:pPr>
            <w:r w:rsidRPr="001F2B27">
              <w:rPr>
                <w:rFonts w:ascii="Arial" w:hAnsi="Arial" w:cs="Arial"/>
                <w:szCs w:val="20"/>
              </w:rPr>
              <w:t xml:space="preserve">Article 2 </w:t>
            </w:r>
          </w:p>
          <w:p w:rsidR="001F2B27" w:rsidRPr="001F2B27" w:rsidRDefault="001F2B27" w:rsidP="001F2B27">
            <w:pPr>
              <w:pStyle w:val="Default"/>
              <w:rPr>
                <w:rFonts w:ascii="Arial" w:hAnsi="Arial" w:cs="Arial"/>
                <w:szCs w:val="20"/>
              </w:rPr>
            </w:pPr>
            <w:r w:rsidRPr="001F2B27">
              <w:rPr>
                <w:rFonts w:ascii="Arial" w:hAnsi="Arial" w:cs="Arial"/>
                <w:szCs w:val="20"/>
              </w:rPr>
              <w:t xml:space="preserve">Article 12 </w:t>
            </w:r>
          </w:p>
          <w:p w:rsidR="001F2B27" w:rsidRPr="001F2B27" w:rsidRDefault="001F2B27" w:rsidP="001F2B27">
            <w:pPr>
              <w:pStyle w:val="Default"/>
              <w:rPr>
                <w:rFonts w:ascii="Arial" w:hAnsi="Arial" w:cs="Arial"/>
                <w:szCs w:val="20"/>
              </w:rPr>
            </w:pPr>
            <w:r w:rsidRPr="001F2B27">
              <w:rPr>
                <w:rFonts w:ascii="Arial" w:hAnsi="Arial" w:cs="Arial"/>
                <w:szCs w:val="20"/>
              </w:rPr>
              <w:t xml:space="preserve">Article 24 </w:t>
            </w:r>
          </w:p>
          <w:p w:rsidR="00C353FE" w:rsidRPr="001F2B27" w:rsidRDefault="001F2B27" w:rsidP="001F2B27">
            <w:pPr>
              <w:pStyle w:val="Default"/>
              <w:rPr>
                <w:rFonts w:ascii="Arial" w:hAnsi="Arial" w:cs="Arial"/>
                <w:szCs w:val="20"/>
              </w:rPr>
            </w:pPr>
            <w:r w:rsidRPr="001F2B27">
              <w:rPr>
                <w:rFonts w:ascii="Arial" w:hAnsi="Arial" w:cs="Arial"/>
                <w:szCs w:val="20"/>
              </w:rPr>
              <w:t xml:space="preserve">Article 28 </w:t>
            </w:r>
          </w:p>
        </w:tc>
        <w:tc>
          <w:tcPr>
            <w:tcW w:w="4475" w:type="dxa"/>
            <w:shd w:val="clear" w:color="auto" w:fill="FFFFFF" w:themeFill="background1"/>
          </w:tcPr>
          <w:p w:rsidR="001F2B27" w:rsidRPr="001F2B27" w:rsidRDefault="001F2B27" w:rsidP="001F2B27">
            <w:pPr>
              <w:pStyle w:val="Default"/>
              <w:numPr>
                <w:ilvl w:val="0"/>
                <w:numId w:val="7"/>
              </w:numPr>
              <w:rPr>
                <w:rFonts w:ascii="Arial" w:hAnsi="Arial" w:cs="Arial"/>
              </w:rPr>
            </w:pPr>
            <w:r w:rsidRPr="001F2B27">
              <w:rPr>
                <w:rFonts w:ascii="Arial" w:hAnsi="Arial" w:cs="Arial"/>
              </w:rPr>
              <w:t xml:space="preserve">Develop pupils attitude and resilience to learning </w:t>
            </w:r>
          </w:p>
          <w:p w:rsidR="001F2B27" w:rsidRPr="001F2B27" w:rsidRDefault="001F2B27" w:rsidP="001F2B27">
            <w:pPr>
              <w:pStyle w:val="Default"/>
              <w:numPr>
                <w:ilvl w:val="0"/>
                <w:numId w:val="7"/>
              </w:numPr>
              <w:rPr>
                <w:rFonts w:ascii="Arial" w:hAnsi="Arial" w:cs="Arial"/>
              </w:rPr>
            </w:pPr>
            <w:r w:rsidRPr="001F2B27">
              <w:rPr>
                <w:rFonts w:ascii="Arial" w:hAnsi="Arial" w:cs="Arial"/>
              </w:rPr>
              <w:t xml:space="preserve">Continue to improve rates of attendance for all groups of pupils through careful analysis of attendance patterns and robust follow up activities. </w:t>
            </w:r>
          </w:p>
          <w:p w:rsidR="00C353FE" w:rsidRPr="001F2B27" w:rsidRDefault="001F2B27" w:rsidP="001F2B27">
            <w:pPr>
              <w:pStyle w:val="ListParagraph"/>
              <w:numPr>
                <w:ilvl w:val="0"/>
                <w:numId w:val="7"/>
              </w:numPr>
              <w:rPr>
                <w:rFonts w:ascii="Arial" w:hAnsi="Arial" w:cs="Arial"/>
                <w:b/>
                <w:sz w:val="24"/>
                <w:szCs w:val="24"/>
              </w:rPr>
            </w:pPr>
            <w:r w:rsidRPr="001F2B27">
              <w:rPr>
                <w:rFonts w:ascii="Arial" w:hAnsi="Arial" w:cs="Arial"/>
                <w:sz w:val="24"/>
                <w:szCs w:val="24"/>
              </w:rPr>
              <w:t>Embed language and philosophy of growth mindset</w:t>
            </w:r>
            <w:r w:rsidRPr="001F2B27">
              <w:rPr>
                <w:sz w:val="24"/>
                <w:szCs w:val="24"/>
              </w:rPr>
              <w:t xml:space="preserve"> </w:t>
            </w:r>
          </w:p>
        </w:tc>
      </w:tr>
      <w:tr w:rsidR="001F2B27" w:rsidTr="001F2B27">
        <w:tc>
          <w:tcPr>
            <w:tcW w:w="3005" w:type="dxa"/>
            <w:shd w:val="clear" w:color="auto" w:fill="FFFFFF" w:themeFill="background1"/>
          </w:tcPr>
          <w:p w:rsidR="001F2B27" w:rsidRPr="001F2B27" w:rsidRDefault="001F2B27" w:rsidP="001F2B27">
            <w:pPr>
              <w:pStyle w:val="Default"/>
              <w:jc w:val="both"/>
              <w:rPr>
                <w:rFonts w:ascii="Arial" w:hAnsi="Arial" w:cs="Arial"/>
              </w:rPr>
            </w:pPr>
            <w:r w:rsidRPr="001F2B27">
              <w:rPr>
                <w:rFonts w:ascii="Arial" w:hAnsi="Arial" w:cs="Arial"/>
              </w:rPr>
              <w:t xml:space="preserve">Improve pupils’ SMSC development (including promoting British Values) </w:t>
            </w:r>
          </w:p>
          <w:p w:rsidR="001F2B27" w:rsidRPr="001F2B27" w:rsidRDefault="001F2B27" w:rsidP="001F2B27">
            <w:pPr>
              <w:pStyle w:val="Default"/>
              <w:jc w:val="both"/>
              <w:rPr>
                <w:rFonts w:ascii="Arial" w:hAnsi="Arial" w:cs="Arial"/>
              </w:rPr>
            </w:pPr>
          </w:p>
        </w:tc>
        <w:tc>
          <w:tcPr>
            <w:tcW w:w="1536" w:type="dxa"/>
            <w:shd w:val="clear" w:color="auto" w:fill="FFFFFF" w:themeFill="background1"/>
          </w:tcPr>
          <w:p w:rsidR="001F2B27" w:rsidRPr="001F2B27" w:rsidRDefault="001F2B27" w:rsidP="001F2B27">
            <w:pPr>
              <w:pStyle w:val="Default"/>
              <w:rPr>
                <w:rFonts w:ascii="Arial" w:hAnsi="Arial" w:cs="Arial"/>
              </w:rPr>
            </w:pPr>
            <w:r w:rsidRPr="001F2B27">
              <w:rPr>
                <w:rFonts w:ascii="Arial" w:hAnsi="Arial" w:cs="Arial"/>
              </w:rPr>
              <w:t xml:space="preserve">Article 2 </w:t>
            </w:r>
          </w:p>
          <w:p w:rsidR="001F2B27" w:rsidRPr="001F2B27" w:rsidRDefault="001F2B27" w:rsidP="001F2B27">
            <w:pPr>
              <w:pStyle w:val="Default"/>
              <w:rPr>
                <w:rFonts w:ascii="Arial" w:hAnsi="Arial" w:cs="Arial"/>
              </w:rPr>
            </w:pPr>
            <w:r w:rsidRPr="001F2B27">
              <w:rPr>
                <w:rFonts w:ascii="Arial" w:hAnsi="Arial" w:cs="Arial"/>
              </w:rPr>
              <w:t xml:space="preserve">Article 12 </w:t>
            </w:r>
          </w:p>
          <w:p w:rsidR="001F2B27" w:rsidRPr="001F2B27" w:rsidRDefault="001F2B27" w:rsidP="001F2B27">
            <w:pPr>
              <w:pStyle w:val="Default"/>
              <w:rPr>
                <w:rFonts w:ascii="Arial" w:hAnsi="Arial" w:cs="Arial"/>
              </w:rPr>
            </w:pPr>
            <w:r w:rsidRPr="001F2B27">
              <w:rPr>
                <w:rFonts w:ascii="Arial" w:hAnsi="Arial" w:cs="Arial"/>
              </w:rPr>
              <w:t xml:space="preserve">Article 28 </w:t>
            </w:r>
          </w:p>
          <w:p w:rsidR="001F2B27" w:rsidRPr="001F2B27" w:rsidRDefault="001F2B27" w:rsidP="001F2B27">
            <w:pPr>
              <w:pStyle w:val="Default"/>
              <w:rPr>
                <w:rFonts w:ascii="Arial" w:hAnsi="Arial" w:cs="Arial"/>
              </w:rPr>
            </w:pPr>
            <w:r w:rsidRPr="001F2B27">
              <w:rPr>
                <w:rFonts w:ascii="Arial" w:hAnsi="Arial" w:cs="Arial"/>
              </w:rPr>
              <w:t xml:space="preserve">Article 29 </w:t>
            </w:r>
          </w:p>
        </w:tc>
        <w:tc>
          <w:tcPr>
            <w:tcW w:w="4475" w:type="dxa"/>
            <w:shd w:val="clear" w:color="auto" w:fill="FFFFFF" w:themeFill="background1"/>
          </w:tcPr>
          <w:p w:rsidR="001F2B27" w:rsidRPr="001F2B27" w:rsidRDefault="001F2B27" w:rsidP="001F2B27">
            <w:pPr>
              <w:pStyle w:val="ListParagraph"/>
              <w:numPr>
                <w:ilvl w:val="0"/>
                <w:numId w:val="7"/>
              </w:numPr>
              <w:rPr>
                <w:rFonts w:ascii="Arial" w:hAnsi="Arial" w:cs="Arial"/>
                <w:sz w:val="24"/>
                <w:szCs w:val="24"/>
              </w:rPr>
            </w:pPr>
            <w:r w:rsidRPr="001F2B27">
              <w:rPr>
                <w:rFonts w:ascii="Arial" w:hAnsi="Arial" w:cs="Arial"/>
                <w:sz w:val="24"/>
                <w:szCs w:val="24"/>
              </w:rPr>
              <w:t xml:space="preserve">Promote self-responsibility, respect and tolerance for others as part of pupils’ spiritual, moral, social and cultural development. </w:t>
            </w:r>
          </w:p>
          <w:p w:rsidR="001F2B27" w:rsidRPr="001F2B27" w:rsidRDefault="001F2B27" w:rsidP="001F2B27">
            <w:pPr>
              <w:pStyle w:val="ListParagraph"/>
              <w:numPr>
                <w:ilvl w:val="0"/>
                <w:numId w:val="7"/>
              </w:numPr>
              <w:rPr>
                <w:rFonts w:ascii="Arial" w:hAnsi="Arial" w:cs="Arial"/>
                <w:sz w:val="24"/>
                <w:szCs w:val="24"/>
              </w:rPr>
            </w:pPr>
            <w:r w:rsidRPr="001F2B27">
              <w:rPr>
                <w:rFonts w:ascii="Arial" w:hAnsi="Arial" w:cs="Arial"/>
                <w:sz w:val="24"/>
                <w:szCs w:val="24"/>
              </w:rPr>
              <w:t xml:space="preserve">Ensure that pupils’ spiritual, moral, social and cultural development equips them to be thoughtful, caring and active citizens in school and in the wider community. </w:t>
            </w:r>
          </w:p>
          <w:p w:rsidR="001F2B27" w:rsidRPr="001F2B27" w:rsidRDefault="001F2B27" w:rsidP="001F2B27">
            <w:pPr>
              <w:pStyle w:val="ListParagraph"/>
              <w:numPr>
                <w:ilvl w:val="0"/>
                <w:numId w:val="7"/>
              </w:numPr>
              <w:rPr>
                <w:rFonts w:ascii="Arial" w:hAnsi="Arial" w:cs="Arial"/>
              </w:rPr>
            </w:pPr>
            <w:r w:rsidRPr="001F2B27">
              <w:rPr>
                <w:rFonts w:ascii="Arial" w:hAnsi="Arial" w:cs="Arial"/>
                <w:sz w:val="24"/>
                <w:szCs w:val="24"/>
              </w:rPr>
              <w:t>Ensure that our school prepares pupils positively for life in Modern Britain and promotes fundamental British Values</w:t>
            </w:r>
            <w:r>
              <w:rPr>
                <w:sz w:val="20"/>
                <w:szCs w:val="20"/>
              </w:rPr>
              <w:t xml:space="preserve"> </w:t>
            </w:r>
          </w:p>
        </w:tc>
      </w:tr>
    </w:tbl>
    <w:p w:rsidR="001F2B27" w:rsidRDefault="001F2B27" w:rsidP="001F2B27">
      <w:pPr>
        <w:pStyle w:val="Default"/>
        <w:numPr>
          <w:ilvl w:val="0"/>
          <w:numId w:val="4"/>
        </w:numPr>
        <w:rPr>
          <w:rFonts w:ascii="Arial" w:hAnsi="Arial" w:cs="Arial"/>
          <w:b/>
          <w:iCs/>
        </w:rPr>
      </w:pPr>
      <w:r>
        <w:rPr>
          <w:rFonts w:ascii="Arial" w:hAnsi="Arial" w:cs="Arial"/>
          <w:b/>
          <w:iCs/>
        </w:rPr>
        <w:t>Objectives</w:t>
      </w:r>
    </w:p>
    <w:sectPr w:rsidR="001F2B27" w:rsidSect="00231E5E">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E5E" w:rsidRDefault="00231E5E" w:rsidP="00231E5E">
      <w:pPr>
        <w:spacing w:after="0" w:line="240" w:lineRule="auto"/>
      </w:pPr>
      <w:r>
        <w:separator/>
      </w:r>
    </w:p>
  </w:endnote>
  <w:endnote w:type="continuationSeparator" w:id="0">
    <w:p w:rsidR="00231E5E" w:rsidRDefault="00231E5E" w:rsidP="00231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E5E" w:rsidRDefault="00231E5E" w:rsidP="00231E5E">
      <w:pPr>
        <w:spacing w:after="0" w:line="240" w:lineRule="auto"/>
      </w:pPr>
      <w:r>
        <w:separator/>
      </w:r>
    </w:p>
  </w:footnote>
  <w:footnote w:type="continuationSeparator" w:id="0">
    <w:p w:rsidR="00231E5E" w:rsidRDefault="00231E5E" w:rsidP="00231E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94EFF"/>
    <w:multiLevelType w:val="hybridMultilevel"/>
    <w:tmpl w:val="926E0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56DBC"/>
    <w:multiLevelType w:val="hybridMultilevel"/>
    <w:tmpl w:val="C96227C6"/>
    <w:lvl w:ilvl="0" w:tplc="2D0A289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31180"/>
    <w:multiLevelType w:val="hybridMultilevel"/>
    <w:tmpl w:val="1AC2F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945062"/>
    <w:multiLevelType w:val="multilevel"/>
    <w:tmpl w:val="F4945C3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2F1A2A11"/>
    <w:multiLevelType w:val="hybridMultilevel"/>
    <w:tmpl w:val="13700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E3626"/>
    <w:multiLevelType w:val="hybridMultilevel"/>
    <w:tmpl w:val="26F27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AD79E8"/>
    <w:multiLevelType w:val="hybridMultilevel"/>
    <w:tmpl w:val="1F763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934B1A"/>
    <w:multiLevelType w:val="hybridMultilevel"/>
    <w:tmpl w:val="5A70FF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E5E"/>
    <w:rsid w:val="001F2B27"/>
    <w:rsid w:val="00231E5E"/>
    <w:rsid w:val="004C16EC"/>
    <w:rsid w:val="00B17145"/>
    <w:rsid w:val="00BD3B30"/>
    <w:rsid w:val="00C353FE"/>
    <w:rsid w:val="00C94C91"/>
    <w:rsid w:val="00E34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FB32A4-3F3D-469A-89E8-164B75760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E5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31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E5E"/>
  </w:style>
  <w:style w:type="paragraph" w:styleId="Footer">
    <w:name w:val="footer"/>
    <w:basedOn w:val="Normal"/>
    <w:link w:val="FooterChar"/>
    <w:uiPriority w:val="99"/>
    <w:unhideWhenUsed/>
    <w:rsid w:val="00231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E5E"/>
  </w:style>
  <w:style w:type="table" w:styleId="TableGrid">
    <w:name w:val="Table Grid"/>
    <w:basedOn w:val="TableNormal"/>
    <w:uiPriority w:val="39"/>
    <w:rsid w:val="00C353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2B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Carlisle, Stacey</dc:creator>
  <cp:keywords/>
  <dc:description/>
  <cp:lastModifiedBy>Carlisle, Stacey</cp:lastModifiedBy>
  <cp:revision>3</cp:revision>
  <dcterms:created xsi:type="dcterms:W3CDTF">2018-01-10T11:45:00Z</dcterms:created>
  <dcterms:modified xsi:type="dcterms:W3CDTF">2018-01-10T13:38:00Z</dcterms:modified>
</cp:coreProperties>
</file>