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348"/>
      </w:tblGrid>
      <w:tr w:rsidR="001D62F6" w:rsidRPr="001A65F5" w:rsidTr="00E077C6">
        <w:trPr>
          <w:trHeight w:val="303"/>
        </w:trPr>
        <w:tc>
          <w:tcPr>
            <w:tcW w:w="10348" w:type="dxa"/>
            <w:shd w:val="clear" w:color="auto" w:fill="008CB9"/>
            <w:vAlign w:val="center"/>
          </w:tcPr>
          <w:p w:rsidR="001D62F6" w:rsidRPr="001A65F5" w:rsidRDefault="001D62F6">
            <w:pPr>
              <w:tabs>
                <w:tab w:val="left" w:pos="6249"/>
              </w:tabs>
              <w:spacing w:line="276" w:lineRule="auto"/>
              <w:rPr>
                <w:rFonts w:asciiTheme="minorHAnsi" w:eastAsia="Calibri" w:hAnsiTheme="minorHAnsi" w:cstheme="minorHAnsi"/>
                <w:b/>
                <w:color w:val="FFFFFF"/>
                <w:lang w:val="en-GB"/>
              </w:rPr>
            </w:pPr>
            <w:bookmarkStart w:id="0" w:name="_GoBack"/>
            <w:bookmarkEnd w:id="0"/>
            <w:r>
              <w:rPr>
                <w:rFonts w:asciiTheme="minorHAnsi" w:eastAsia="Calibri" w:hAnsiTheme="minorHAnsi" w:cstheme="minorHAnsi"/>
                <w:b/>
                <w:color w:val="FFFFFF"/>
                <w:lang w:val="en-GB"/>
              </w:rPr>
              <w:t>Actions taken to improve outcomes for disadvantaged pupils using the Pupil Premium Grant</w:t>
            </w:r>
          </w:p>
        </w:tc>
      </w:tr>
      <w:tr w:rsidR="001D62F6" w:rsidRPr="001A65F5" w:rsidTr="001D62F6">
        <w:trPr>
          <w:trHeight w:val="850"/>
        </w:trPr>
        <w:tc>
          <w:tcPr>
            <w:tcW w:w="10348" w:type="dxa"/>
            <w:shd w:val="clear" w:color="auto" w:fill="auto"/>
            <w:vAlign w:val="center"/>
          </w:tcPr>
          <w:p w:rsidR="00E077C6" w:rsidRDefault="00E077C6" w:rsidP="00E077C6">
            <w:pPr>
              <w:tabs>
                <w:tab w:val="left" w:pos="6249"/>
              </w:tabs>
              <w:rPr>
                <w:rFonts w:asciiTheme="minorHAnsi" w:eastAsia="Calibri" w:hAnsiTheme="minorHAnsi" w:cstheme="minorHAnsi"/>
                <w:b/>
                <w:lang w:val="en-GB"/>
              </w:rPr>
            </w:pPr>
            <w:r>
              <w:rPr>
                <w:rFonts w:asciiTheme="minorHAnsi" w:eastAsia="Calibri" w:hAnsiTheme="minorHAnsi" w:cstheme="minorHAnsi"/>
                <w:b/>
                <w:lang w:val="en-GB"/>
              </w:rPr>
              <w:t>Early Years Foundation Stage (EYFS)</w:t>
            </w:r>
          </w:p>
          <w:p w:rsidR="001D62F6" w:rsidRDefault="00E077C6" w:rsidP="00E077C6">
            <w:pPr>
              <w:tabs>
                <w:tab w:val="left" w:pos="6249"/>
              </w:tabs>
              <w:rPr>
                <w:rFonts w:asciiTheme="minorHAnsi" w:eastAsia="Calibri" w:hAnsiTheme="minorHAnsi" w:cstheme="minorHAnsi"/>
                <w:lang w:val="en-GB"/>
              </w:rPr>
            </w:pPr>
            <w:r w:rsidRPr="00E077C6">
              <w:rPr>
                <w:rFonts w:asciiTheme="minorHAnsi" w:eastAsia="Calibri" w:hAnsiTheme="minorHAnsi" w:cstheme="minorHAnsi"/>
                <w:lang w:val="en-GB"/>
              </w:rPr>
              <w:t>Disadvantaged</w:t>
            </w:r>
            <w:r>
              <w:rPr>
                <w:rFonts w:asciiTheme="minorHAnsi" w:eastAsia="Calibri" w:hAnsiTheme="minorHAnsi" w:cstheme="minorHAnsi"/>
                <w:lang w:val="en-GB"/>
              </w:rPr>
              <w:t xml:space="preserve"> pupils in nursery who are eligible for the Early Years Pupil Premium (EYPP) are assessed by the EYFS lead and receive targeted interventions in line with their developmental age which are planned with the dedicated EYPP practitioner. These interventions are then delivered within the nursery setting and assessment data is analysed termly against the set targets and progress is measured over time to ensure quality of provision and monitoring of the teaching and learn</w:t>
            </w:r>
            <w:r w:rsidR="00384D68">
              <w:rPr>
                <w:rFonts w:asciiTheme="minorHAnsi" w:eastAsia="Calibri" w:hAnsiTheme="minorHAnsi" w:cstheme="minorHAnsi"/>
                <w:lang w:val="en-GB"/>
              </w:rPr>
              <w:t>ing i</w:t>
            </w:r>
            <w:r>
              <w:rPr>
                <w:rFonts w:asciiTheme="minorHAnsi" w:eastAsia="Calibri" w:hAnsiTheme="minorHAnsi" w:cstheme="minorHAnsi"/>
                <w:lang w:val="en-GB"/>
              </w:rPr>
              <w:t xml:space="preserve">s </w:t>
            </w:r>
            <w:r w:rsidR="00384D68">
              <w:rPr>
                <w:rFonts w:asciiTheme="minorHAnsi" w:eastAsia="Calibri" w:hAnsiTheme="minorHAnsi" w:cstheme="minorHAnsi"/>
                <w:lang w:val="en-GB"/>
              </w:rPr>
              <w:t>implemented by the EYFS lead.</w:t>
            </w:r>
          </w:p>
          <w:p w:rsidR="00384D68" w:rsidRDefault="00384D68" w:rsidP="00E077C6">
            <w:pPr>
              <w:tabs>
                <w:tab w:val="left" w:pos="6249"/>
              </w:tabs>
              <w:rPr>
                <w:rFonts w:asciiTheme="minorHAnsi" w:eastAsia="Calibri" w:hAnsiTheme="minorHAnsi" w:cstheme="minorHAnsi"/>
                <w:lang w:val="en-GB"/>
              </w:rPr>
            </w:pPr>
            <w:r>
              <w:rPr>
                <w:rFonts w:asciiTheme="minorHAnsi" w:eastAsia="Calibri" w:hAnsiTheme="minorHAnsi" w:cstheme="minorHAnsi"/>
                <w:lang w:val="en-GB"/>
              </w:rPr>
              <w:t xml:space="preserve">In Reception a tracking board shows targets for each pupil alongside their photograph and the PPG pupils are identified discretely on the board so staff can analyse the progress of these pupils alongside their peers. A dedicated teaching assistant for social and emotional aspects of learning has ensured additional support for these pupils and a HLTA has worked alongside the two teachers to provide small cohorts for phonics and teacher directed activities. This cohort of children has 13.7 % SEND and this has been an additional challenge. </w:t>
            </w:r>
          </w:p>
          <w:p w:rsidR="00516B90" w:rsidRDefault="00516B90" w:rsidP="00E077C6">
            <w:pPr>
              <w:tabs>
                <w:tab w:val="left" w:pos="6249"/>
              </w:tabs>
              <w:rPr>
                <w:rFonts w:asciiTheme="minorHAnsi" w:eastAsia="Calibri" w:hAnsiTheme="minorHAnsi" w:cstheme="minorHAnsi"/>
                <w:b/>
                <w:lang w:val="en-GB"/>
              </w:rPr>
            </w:pPr>
          </w:p>
          <w:p w:rsidR="00516B90" w:rsidRDefault="00516B90" w:rsidP="00E077C6">
            <w:pPr>
              <w:tabs>
                <w:tab w:val="left" w:pos="6249"/>
              </w:tabs>
              <w:rPr>
                <w:rFonts w:asciiTheme="minorHAnsi" w:eastAsia="Calibri" w:hAnsiTheme="minorHAnsi" w:cstheme="minorHAnsi"/>
                <w:b/>
                <w:lang w:val="en-GB"/>
              </w:rPr>
            </w:pPr>
          </w:p>
          <w:p w:rsidR="00384D68" w:rsidRDefault="00384D68" w:rsidP="00E077C6">
            <w:pPr>
              <w:tabs>
                <w:tab w:val="left" w:pos="6249"/>
              </w:tabs>
              <w:rPr>
                <w:rFonts w:asciiTheme="minorHAnsi" w:eastAsia="Calibri" w:hAnsiTheme="minorHAnsi" w:cstheme="minorHAnsi"/>
                <w:b/>
                <w:lang w:val="en-GB"/>
              </w:rPr>
            </w:pPr>
            <w:r w:rsidRPr="00384D68">
              <w:rPr>
                <w:rFonts w:asciiTheme="minorHAnsi" w:eastAsia="Calibri" w:hAnsiTheme="minorHAnsi" w:cstheme="minorHAnsi"/>
                <w:b/>
                <w:lang w:val="en-GB"/>
              </w:rPr>
              <w:t>Key Stage One</w:t>
            </w:r>
          </w:p>
          <w:p w:rsidR="00384D68" w:rsidRDefault="00384D68" w:rsidP="00E077C6">
            <w:pPr>
              <w:tabs>
                <w:tab w:val="left" w:pos="6249"/>
              </w:tabs>
              <w:rPr>
                <w:rFonts w:asciiTheme="minorHAnsi" w:eastAsia="Calibri" w:hAnsiTheme="minorHAnsi" w:cstheme="minorHAnsi"/>
                <w:lang w:val="en-GB"/>
              </w:rPr>
            </w:pPr>
            <w:r>
              <w:rPr>
                <w:rFonts w:asciiTheme="minorHAnsi" w:eastAsia="Calibri" w:hAnsiTheme="minorHAnsi" w:cstheme="minorHAnsi"/>
                <w:lang w:val="en-GB"/>
              </w:rPr>
              <w:t>Provision maps and targeted interventions have been provided by three dedicated teaching assistant</w:t>
            </w:r>
            <w:r w:rsidR="00516B90">
              <w:rPr>
                <w:rFonts w:asciiTheme="minorHAnsi" w:eastAsia="Calibri" w:hAnsiTheme="minorHAnsi" w:cstheme="minorHAnsi"/>
                <w:lang w:val="en-GB"/>
              </w:rPr>
              <w:t xml:space="preserve">s </w:t>
            </w:r>
            <w:r>
              <w:rPr>
                <w:rFonts w:asciiTheme="minorHAnsi" w:eastAsia="Calibri" w:hAnsiTheme="minorHAnsi" w:cstheme="minorHAnsi"/>
                <w:lang w:val="en-GB"/>
              </w:rPr>
              <w:t>and one SEND teaching assistant who have worked alongside the teachers to provide high quality phonics sessions and interventions under the direction of the Key Stage lead</w:t>
            </w:r>
            <w:r w:rsidR="00516B90">
              <w:rPr>
                <w:rFonts w:asciiTheme="minorHAnsi" w:eastAsia="Calibri" w:hAnsiTheme="minorHAnsi" w:cstheme="minorHAnsi"/>
                <w:lang w:val="en-GB"/>
              </w:rPr>
              <w:t>.</w:t>
            </w:r>
          </w:p>
          <w:p w:rsidR="00516B90" w:rsidRDefault="00516B90" w:rsidP="00E077C6">
            <w:pPr>
              <w:tabs>
                <w:tab w:val="left" w:pos="6249"/>
              </w:tabs>
              <w:rPr>
                <w:rFonts w:asciiTheme="minorHAnsi" w:eastAsia="Calibri" w:hAnsiTheme="minorHAnsi" w:cstheme="minorHAnsi"/>
                <w:lang w:val="en-GB"/>
              </w:rPr>
            </w:pPr>
            <w:r>
              <w:rPr>
                <w:rFonts w:asciiTheme="minorHAnsi" w:eastAsia="Calibri" w:hAnsiTheme="minorHAnsi" w:cstheme="minorHAnsi"/>
                <w:lang w:val="en-GB"/>
              </w:rPr>
              <w:t>This cohort included five SEND boys who were also eligible for PPG and needed additional support which was provided by the class teacher, teaching assistant and learning mentor,</w:t>
            </w:r>
          </w:p>
          <w:p w:rsidR="00516B90" w:rsidRDefault="00516B90" w:rsidP="00E077C6">
            <w:pPr>
              <w:tabs>
                <w:tab w:val="left" w:pos="6249"/>
              </w:tabs>
              <w:rPr>
                <w:rFonts w:asciiTheme="minorHAnsi" w:eastAsia="Calibri" w:hAnsiTheme="minorHAnsi" w:cstheme="minorHAnsi"/>
                <w:b/>
                <w:lang w:val="en-GB"/>
              </w:rPr>
            </w:pPr>
          </w:p>
          <w:p w:rsidR="00516B90" w:rsidRDefault="00516B90" w:rsidP="00E077C6">
            <w:pPr>
              <w:tabs>
                <w:tab w:val="left" w:pos="6249"/>
              </w:tabs>
              <w:rPr>
                <w:rFonts w:asciiTheme="minorHAnsi" w:eastAsia="Calibri" w:hAnsiTheme="minorHAnsi" w:cstheme="minorHAnsi"/>
                <w:b/>
                <w:lang w:val="en-GB"/>
              </w:rPr>
            </w:pPr>
          </w:p>
          <w:p w:rsidR="00516B90" w:rsidRDefault="00516B90" w:rsidP="00E077C6">
            <w:pPr>
              <w:tabs>
                <w:tab w:val="left" w:pos="6249"/>
              </w:tabs>
              <w:rPr>
                <w:rFonts w:asciiTheme="minorHAnsi" w:eastAsia="Calibri" w:hAnsiTheme="minorHAnsi" w:cstheme="minorHAnsi"/>
                <w:b/>
                <w:lang w:val="en-GB"/>
              </w:rPr>
            </w:pPr>
            <w:r w:rsidRPr="00516B90">
              <w:rPr>
                <w:rFonts w:asciiTheme="minorHAnsi" w:eastAsia="Calibri" w:hAnsiTheme="minorHAnsi" w:cstheme="minorHAnsi"/>
                <w:b/>
                <w:lang w:val="en-GB"/>
              </w:rPr>
              <w:t>Key Stage Two</w:t>
            </w:r>
          </w:p>
          <w:p w:rsidR="00516B90" w:rsidRDefault="00516B90" w:rsidP="00516B90">
            <w:pPr>
              <w:tabs>
                <w:tab w:val="left" w:pos="6249"/>
              </w:tabs>
              <w:rPr>
                <w:rFonts w:asciiTheme="minorHAnsi" w:eastAsia="Calibri" w:hAnsiTheme="minorHAnsi" w:cstheme="minorHAnsi"/>
                <w:lang w:val="en-GB"/>
              </w:rPr>
            </w:pPr>
            <w:r>
              <w:rPr>
                <w:rFonts w:asciiTheme="minorHAnsi" w:eastAsia="Calibri" w:hAnsiTheme="minorHAnsi" w:cstheme="minorHAnsi"/>
                <w:lang w:val="en-GB"/>
              </w:rPr>
              <w:t xml:space="preserve">Provision maps and targeted interventions have been provided by four dedicated teaching assistants and one SEND teaching assistant who have worked alongside the teachers to provide high quality interventions under the direction of the Key Stage lead and class teachers. The two classes with high SEND and high PPG pupils received additional support from two Higher Level Teaching </w:t>
            </w:r>
            <w:proofErr w:type="gramStart"/>
            <w:r>
              <w:rPr>
                <w:rFonts w:asciiTheme="minorHAnsi" w:eastAsia="Calibri" w:hAnsiTheme="minorHAnsi" w:cstheme="minorHAnsi"/>
                <w:lang w:val="en-GB"/>
              </w:rPr>
              <w:t>Assistants .</w:t>
            </w:r>
            <w:proofErr w:type="gramEnd"/>
          </w:p>
          <w:p w:rsidR="00516B90" w:rsidRDefault="00516B90" w:rsidP="00516B90">
            <w:pPr>
              <w:tabs>
                <w:tab w:val="left" w:pos="6249"/>
              </w:tabs>
              <w:rPr>
                <w:rFonts w:asciiTheme="minorHAnsi" w:eastAsia="Calibri" w:hAnsiTheme="minorHAnsi" w:cstheme="minorHAnsi"/>
                <w:lang w:val="en-GB"/>
              </w:rPr>
            </w:pPr>
            <w:r>
              <w:rPr>
                <w:rFonts w:asciiTheme="minorHAnsi" w:eastAsia="Calibri" w:hAnsiTheme="minorHAnsi" w:cstheme="minorHAnsi"/>
                <w:lang w:val="en-GB"/>
              </w:rPr>
              <w:t>We have generally seen improvements in the narrowing of the gap between disadvantaged pupils and ‘others’ nationally since last year and in some cases disadvantaged pupils have achieved above ‘others’ nationally.</w:t>
            </w:r>
          </w:p>
          <w:p w:rsidR="00516B90" w:rsidRDefault="00516B90" w:rsidP="00516B90">
            <w:pPr>
              <w:tabs>
                <w:tab w:val="left" w:pos="6249"/>
              </w:tabs>
              <w:rPr>
                <w:rFonts w:asciiTheme="minorHAnsi" w:eastAsia="Calibri" w:hAnsiTheme="minorHAnsi" w:cstheme="minorHAnsi"/>
                <w:lang w:val="en-GB"/>
              </w:rPr>
            </w:pPr>
          </w:p>
          <w:p w:rsidR="00516B90" w:rsidRDefault="00516B90" w:rsidP="00516B90">
            <w:pPr>
              <w:tabs>
                <w:tab w:val="left" w:pos="6249"/>
              </w:tabs>
              <w:rPr>
                <w:rFonts w:asciiTheme="minorHAnsi" w:eastAsia="Calibri" w:hAnsiTheme="minorHAnsi" w:cstheme="minorHAnsi"/>
                <w:lang w:val="en-GB"/>
              </w:rPr>
            </w:pPr>
          </w:p>
          <w:p w:rsidR="00516B90" w:rsidRDefault="00516B90" w:rsidP="00516B90">
            <w:pPr>
              <w:tabs>
                <w:tab w:val="left" w:pos="6249"/>
              </w:tabs>
              <w:rPr>
                <w:rFonts w:asciiTheme="minorHAnsi" w:eastAsia="Calibri" w:hAnsiTheme="minorHAnsi" w:cstheme="minorHAnsi"/>
                <w:lang w:val="en-GB"/>
              </w:rPr>
            </w:pPr>
            <w:r>
              <w:rPr>
                <w:rFonts w:asciiTheme="minorHAnsi" w:eastAsia="Calibri" w:hAnsiTheme="minorHAnsi" w:cstheme="minorHAnsi"/>
                <w:lang w:val="en-GB"/>
              </w:rPr>
              <w:t xml:space="preserve">Rigorous and robust tracking and in depth analysis </w:t>
            </w:r>
            <w:proofErr w:type="gramStart"/>
            <w:r>
              <w:rPr>
                <w:rFonts w:asciiTheme="minorHAnsi" w:eastAsia="Calibri" w:hAnsiTheme="minorHAnsi" w:cstheme="minorHAnsi"/>
                <w:lang w:val="en-GB"/>
              </w:rPr>
              <w:t xml:space="preserve">of </w:t>
            </w:r>
            <w:r w:rsidR="00C141DB">
              <w:rPr>
                <w:rFonts w:asciiTheme="minorHAnsi" w:eastAsia="Calibri" w:hAnsiTheme="minorHAnsi" w:cstheme="minorHAnsi"/>
                <w:lang w:val="en-GB"/>
              </w:rPr>
              <w:t xml:space="preserve"> </w:t>
            </w:r>
            <w:r>
              <w:rPr>
                <w:rFonts w:asciiTheme="minorHAnsi" w:eastAsia="Calibri" w:hAnsiTheme="minorHAnsi" w:cstheme="minorHAnsi"/>
                <w:lang w:val="en-GB"/>
              </w:rPr>
              <w:t>‘</w:t>
            </w:r>
            <w:proofErr w:type="gramEnd"/>
            <w:r w:rsidR="00C141DB">
              <w:rPr>
                <w:rFonts w:asciiTheme="minorHAnsi" w:eastAsia="Calibri" w:hAnsiTheme="minorHAnsi" w:cstheme="minorHAnsi"/>
                <w:lang w:val="en-GB"/>
              </w:rPr>
              <w:t xml:space="preserve"> B</w:t>
            </w:r>
            <w:r>
              <w:rPr>
                <w:rFonts w:asciiTheme="minorHAnsi" w:eastAsia="Calibri" w:hAnsiTheme="minorHAnsi" w:cstheme="minorHAnsi"/>
                <w:lang w:val="en-GB"/>
              </w:rPr>
              <w:t>arriers to learning’ has ensured that all pupils at risk of underachieving have been identified and received interventions and / or additional pastoral intervention as individuals and often as families by the learning mentor.</w:t>
            </w:r>
          </w:p>
          <w:p w:rsidR="00C141DB" w:rsidRDefault="00C141DB" w:rsidP="00516B90">
            <w:pPr>
              <w:tabs>
                <w:tab w:val="left" w:pos="6249"/>
              </w:tabs>
              <w:rPr>
                <w:rFonts w:asciiTheme="minorHAnsi" w:eastAsia="Calibri" w:hAnsiTheme="minorHAnsi" w:cstheme="minorHAnsi"/>
                <w:lang w:val="en-GB"/>
              </w:rPr>
            </w:pPr>
          </w:p>
          <w:p w:rsidR="00C141DB" w:rsidRDefault="00C141DB" w:rsidP="00516B90">
            <w:pPr>
              <w:tabs>
                <w:tab w:val="left" w:pos="6249"/>
              </w:tabs>
              <w:rPr>
                <w:rFonts w:asciiTheme="minorHAnsi" w:eastAsia="Calibri" w:hAnsiTheme="minorHAnsi" w:cstheme="minorHAnsi"/>
                <w:lang w:val="en-GB"/>
              </w:rPr>
            </w:pPr>
            <w:r>
              <w:rPr>
                <w:rFonts w:asciiTheme="minorHAnsi" w:eastAsia="Calibri" w:hAnsiTheme="minorHAnsi" w:cstheme="minorHAnsi"/>
                <w:lang w:val="en-GB"/>
              </w:rPr>
              <w:t>Impact Evaluation sheets ensure that teachers can track progress against an intervention and adapt the intervention if progress is not evident. The impact evaluation sheets are completed by those embers of staff delivering the interventions.</w:t>
            </w:r>
          </w:p>
          <w:p w:rsidR="00384D68" w:rsidRDefault="00384D68" w:rsidP="00E077C6">
            <w:pPr>
              <w:tabs>
                <w:tab w:val="left" w:pos="6249"/>
              </w:tabs>
              <w:rPr>
                <w:rFonts w:asciiTheme="minorHAnsi" w:eastAsia="Calibri" w:hAnsiTheme="minorHAnsi" w:cstheme="minorHAnsi"/>
                <w:lang w:val="en-GB"/>
              </w:rPr>
            </w:pPr>
          </w:p>
          <w:p w:rsidR="00516B90" w:rsidRDefault="00516B90" w:rsidP="00E077C6">
            <w:pPr>
              <w:tabs>
                <w:tab w:val="left" w:pos="6249"/>
              </w:tabs>
              <w:rPr>
                <w:rFonts w:asciiTheme="minorHAnsi" w:eastAsia="Calibri" w:hAnsiTheme="minorHAnsi" w:cstheme="minorHAnsi"/>
                <w:lang w:val="en-GB"/>
              </w:rPr>
            </w:pPr>
            <w:r>
              <w:rPr>
                <w:rFonts w:asciiTheme="minorHAnsi" w:eastAsia="Calibri" w:hAnsiTheme="minorHAnsi" w:cstheme="minorHAnsi"/>
                <w:lang w:val="en-GB"/>
              </w:rPr>
              <w:t xml:space="preserve">As </w:t>
            </w:r>
            <w:r w:rsidR="00C141DB">
              <w:rPr>
                <w:rFonts w:asciiTheme="minorHAnsi" w:eastAsia="Calibri" w:hAnsiTheme="minorHAnsi" w:cstheme="minorHAnsi"/>
                <w:lang w:val="en-GB"/>
              </w:rPr>
              <w:t>a result of these interventions the impact can be seen in the information below</w:t>
            </w:r>
          </w:p>
          <w:p w:rsidR="00516B90" w:rsidRDefault="00516B90" w:rsidP="00E077C6">
            <w:pPr>
              <w:tabs>
                <w:tab w:val="left" w:pos="6249"/>
              </w:tabs>
              <w:rPr>
                <w:rFonts w:asciiTheme="minorHAnsi" w:eastAsia="Calibri" w:hAnsiTheme="minorHAnsi" w:cstheme="minorHAnsi"/>
                <w:lang w:val="en-GB"/>
              </w:rPr>
            </w:pPr>
          </w:p>
          <w:p w:rsidR="00516B90" w:rsidRDefault="00516B90" w:rsidP="00E077C6">
            <w:pPr>
              <w:tabs>
                <w:tab w:val="left" w:pos="6249"/>
              </w:tabs>
              <w:rPr>
                <w:rFonts w:asciiTheme="minorHAnsi" w:eastAsia="Calibri" w:hAnsiTheme="minorHAnsi" w:cstheme="minorHAnsi"/>
                <w:lang w:val="en-GB"/>
              </w:rPr>
            </w:pPr>
          </w:p>
          <w:p w:rsidR="00516B90" w:rsidRDefault="00516B90" w:rsidP="00E077C6">
            <w:pPr>
              <w:tabs>
                <w:tab w:val="left" w:pos="6249"/>
              </w:tabs>
              <w:rPr>
                <w:rFonts w:asciiTheme="minorHAnsi" w:eastAsia="Calibri" w:hAnsiTheme="minorHAnsi" w:cstheme="minorHAnsi"/>
                <w:lang w:val="en-GB"/>
              </w:rPr>
            </w:pPr>
          </w:p>
          <w:p w:rsidR="00516B90" w:rsidRDefault="00516B90" w:rsidP="00E077C6">
            <w:pPr>
              <w:tabs>
                <w:tab w:val="left" w:pos="6249"/>
              </w:tabs>
              <w:rPr>
                <w:rFonts w:asciiTheme="minorHAnsi" w:eastAsia="Calibri" w:hAnsiTheme="minorHAnsi" w:cstheme="minorHAnsi"/>
                <w:lang w:val="en-GB"/>
              </w:rPr>
            </w:pPr>
          </w:p>
          <w:p w:rsidR="00516B90" w:rsidRDefault="00516B90" w:rsidP="00E077C6">
            <w:pPr>
              <w:tabs>
                <w:tab w:val="left" w:pos="6249"/>
              </w:tabs>
              <w:rPr>
                <w:rFonts w:asciiTheme="minorHAnsi" w:eastAsia="Calibri" w:hAnsiTheme="minorHAnsi" w:cstheme="minorHAnsi"/>
                <w:lang w:val="en-GB"/>
              </w:rPr>
            </w:pPr>
          </w:p>
          <w:p w:rsidR="00516B90" w:rsidRDefault="00516B90" w:rsidP="00E077C6">
            <w:pPr>
              <w:tabs>
                <w:tab w:val="left" w:pos="6249"/>
              </w:tabs>
              <w:rPr>
                <w:rFonts w:asciiTheme="minorHAnsi" w:eastAsia="Calibri" w:hAnsiTheme="minorHAnsi" w:cstheme="minorHAnsi"/>
                <w:lang w:val="en-GB"/>
              </w:rPr>
            </w:pPr>
          </w:p>
          <w:p w:rsidR="00516B90" w:rsidRPr="00E077C6" w:rsidRDefault="00516B90" w:rsidP="00E077C6">
            <w:pPr>
              <w:tabs>
                <w:tab w:val="left" w:pos="6249"/>
              </w:tabs>
              <w:rPr>
                <w:rFonts w:asciiTheme="minorHAnsi" w:eastAsia="Calibri" w:hAnsiTheme="minorHAnsi" w:cstheme="minorHAnsi"/>
                <w:lang w:val="en-GB"/>
              </w:rPr>
            </w:pPr>
          </w:p>
        </w:tc>
      </w:tr>
      <w:tr w:rsidR="00E70E52" w:rsidRPr="001A65F5" w:rsidTr="0052547F">
        <w:trPr>
          <w:trHeight w:val="850"/>
        </w:trPr>
        <w:tc>
          <w:tcPr>
            <w:tcW w:w="10348" w:type="dxa"/>
            <w:shd w:val="clear" w:color="auto" w:fill="008CB9"/>
            <w:vAlign w:val="center"/>
          </w:tcPr>
          <w:p w:rsidR="00E70E52" w:rsidRPr="001A65F5" w:rsidRDefault="00E52843">
            <w:pPr>
              <w:tabs>
                <w:tab w:val="left" w:pos="6249"/>
              </w:tabs>
              <w:spacing w:line="276" w:lineRule="auto"/>
              <w:rPr>
                <w:rFonts w:asciiTheme="minorHAnsi" w:eastAsia="Calibri" w:hAnsiTheme="minorHAnsi" w:cstheme="minorHAnsi"/>
                <w:b/>
                <w:color w:val="FFFFFF"/>
                <w:lang w:val="en-GB"/>
              </w:rPr>
            </w:pPr>
            <w:r w:rsidRPr="001A65F5">
              <w:rPr>
                <w:rFonts w:asciiTheme="minorHAnsi" w:eastAsia="Calibri" w:hAnsiTheme="minorHAnsi" w:cstheme="minorHAnsi"/>
                <w:b/>
                <w:color w:val="FFFFFF"/>
                <w:lang w:val="en-GB"/>
              </w:rPr>
              <w:lastRenderedPageBreak/>
              <w:t>Measuring the impact of Pupil P</w:t>
            </w:r>
            <w:r w:rsidR="00137FBB" w:rsidRPr="001A65F5">
              <w:rPr>
                <w:rFonts w:asciiTheme="minorHAnsi" w:eastAsia="Calibri" w:hAnsiTheme="minorHAnsi" w:cstheme="minorHAnsi"/>
                <w:b/>
                <w:color w:val="FFFFFF"/>
                <w:lang w:val="en-GB"/>
              </w:rPr>
              <w:t>remium Grant (PPG) spending 2017  -18</w:t>
            </w:r>
          </w:p>
        </w:tc>
      </w:tr>
      <w:tr w:rsidR="00E70E52" w:rsidRPr="001A65F5" w:rsidTr="0052547F">
        <w:trPr>
          <w:trHeight w:val="6965"/>
        </w:trPr>
        <w:tc>
          <w:tcPr>
            <w:tcW w:w="10348" w:type="dxa"/>
          </w:tcPr>
          <w:p w:rsidR="00E70E52" w:rsidRPr="001A65F5" w:rsidRDefault="00E52843" w:rsidP="00CC2C57">
            <w:pPr>
              <w:tabs>
                <w:tab w:val="left" w:pos="6249"/>
              </w:tabs>
              <w:rPr>
                <w:rFonts w:asciiTheme="minorHAnsi" w:eastAsia="Calibri" w:hAnsiTheme="minorHAnsi" w:cstheme="minorHAnsi"/>
                <w:b/>
                <w:lang w:val="en-GB"/>
              </w:rPr>
            </w:pPr>
            <w:r w:rsidRPr="001A65F5">
              <w:rPr>
                <w:rFonts w:asciiTheme="minorHAnsi" w:eastAsia="Calibri" w:hAnsiTheme="minorHAnsi" w:cstheme="minorHAnsi"/>
                <w:b/>
                <w:lang w:val="en-GB"/>
              </w:rPr>
              <w:t>Early Years Foundation Stage</w:t>
            </w:r>
          </w:p>
          <w:p w:rsidR="00137FBB" w:rsidRPr="001A65F5" w:rsidRDefault="00CC2C57" w:rsidP="00CC2C57">
            <w:pPr>
              <w:pStyle w:val="textbox"/>
              <w:shd w:val="clear" w:color="auto" w:fill="FFFFFF"/>
              <w:spacing w:before="0" w:beforeAutospacing="0" w:after="0" w:afterAutospacing="0"/>
              <w:rPr>
                <w:rFonts w:asciiTheme="minorHAnsi" w:hAnsiTheme="minorHAnsi" w:cstheme="minorHAnsi"/>
              </w:rPr>
            </w:pPr>
            <w:r w:rsidRPr="001A65F5">
              <w:rPr>
                <w:rFonts w:asciiTheme="minorHAnsi" w:eastAsia="Calibri" w:hAnsiTheme="minorHAnsi" w:cstheme="minorHAnsi"/>
              </w:rPr>
              <w:t>School Disadvantaged vs National 'Other' (Not Disadvantaged)</w:t>
            </w:r>
          </w:p>
          <w:p w:rsidR="00137FBB" w:rsidRPr="001A65F5" w:rsidRDefault="00137FBB" w:rsidP="00CC2C57">
            <w:pPr>
              <w:pStyle w:val="textbox"/>
              <w:shd w:val="clear" w:color="auto" w:fill="FFFFFF"/>
              <w:spacing w:before="0" w:beforeAutospacing="0" w:after="0" w:afterAutospacing="0"/>
              <w:rPr>
                <w:rFonts w:asciiTheme="minorHAnsi" w:hAnsiTheme="minorHAnsi" w:cstheme="minorHAnsi"/>
              </w:rPr>
            </w:pPr>
            <w:r w:rsidRPr="001A65F5">
              <w:rPr>
                <w:rFonts w:asciiTheme="minorHAnsi" w:hAnsiTheme="minorHAnsi" w:cstheme="minorHAnsi"/>
              </w:rPr>
              <w:t xml:space="preserve">52%  of  pupils in  the 2017 -18 cohort  were disadvantaged  this  was 15  pupils  (12  boys  and  3  girls).  </w:t>
            </w:r>
          </w:p>
          <w:p w:rsidR="00137FBB" w:rsidRPr="001A65F5" w:rsidRDefault="00CC2C57" w:rsidP="00CC2C57">
            <w:pPr>
              <w:pStyle w:val="textbox"/>
              <w:shd w:val="clear" w:color="auto" w:fill="FFFFFF"/>
              <w:spacing w:before="0" w:beforeAutospacing="0" w:after="0" w:afterAutospacing="0"/>
              <w:rPr>
                <w:rFonts w:asciiTheme="minorHAnsi" w:hAnsiTheme="minorHAnsi" w:cstheme="minorHAnsi"/>
              </w:rPr>
            </w:pPr>
            <w:r w:rsidRPr="001A65F5">
              <w:rPr>
                <w:rFonts w:asciiTheme="minorHAnsi" w:hAnsiTheme="minorHAnsi" w:cstheme="minorHAnsi"/>
              </w:rPr>
              <w:t xml:space="preserve">60% </w:t>
            </w:r>
            <w:proofErr w:type="gramStart"/>
            <w:r w:rsidR="00137FBB" w:rsidRPr="001A65F5">
              <w:rPr>
                <w:rFonts w:asciiTheme="minorHAnsi" w:hAnsiTheme="minorHAnsi" w:cstheme="minorHAnsi"/>
              </w:rPr>
              <w:t>of  disadvantaged</w:t>
            </w:r>
            <w:proofErr w:type="gramEnd"/>
            <w:r w:rsidR="00137FBB" w:rsidRPr="001A65F5">
              <w:rPr>
                <w:rFonts w:asciiTheme="minorHAnsi" w:hAnsiTheme="minorHAnsi" w:cstheme="minorHAnsi"/>
              </w:rPr>
              <w:t xml:space="preserve">  pupils  in the school achieved  the  Good Level of Development (GLD).  Nationally (2017)</w:t>
            </w:r>
            <w:r w:rsidR="001B75D9" w:rsidRPr="001A65F5">
              <w:rPr>
                <w:rFonts w:asciiTheme="minorHAnsi" w:hAnsiTheme="minorHAnsi" w:cstheme="minorHAnsi"/>
              </w:rPr>
              <w:t xml:space="preserve"> 73% </w:t>
            </w:r>
            <w:r w:rsidR="00137FBB" w:rsidRPr="001A65F5">
              <w:rPr>
                <w:rFonts w:asciiTheme="minorHAnsi" w:hAnsiTheme="minorHAnsi" w:cstheme="minorHAnsi"/>
              </w:rPr>
              <w:t>of non -</w:t>
            </w:r>
            <w:proofErr w:type="gramStart"/>
            <w:r w:rsidR="00137FBB" w:rsidRPr="001A65F5">
              <w:rPr>
                <w:rFonts w:asciiTheme="minorHAnsi" w:hAnsiTheme="minorHAnsi" w:cstheme="minorHAnsi"/>
              </w:rPr>
              <w:t>disadvantaged  pupils</w:t>
            </w:r>
            <w:proofErr w:type="gramEnd"/>
            <w:r w:rsidR="00137FBB" w:rsidRPr="001A65F5">
              <w:rPr>
                <w:rFonts w:asciiTheme="minorHAnsi" w:hAnsiTheme="minorHAnsi" w:cstheme="minorHAnsi"/>
              </w:rPr>
              <w:t xml:space="preserve">  a</w:t>
            </w:r>
            <w:r w:rsidR="001B75D9" w:rsidRPr="001A65F5">
              <w:rPr>
                <w:rFonts w:asciiTheme="minorHAnsi" w:hAnsiTheme="minorHAnsi" w:cstheme="minorHAnsi"/>
              </w:rPr>
              <w:t xml:space="preserve">chieved  the  GLD.  Therefore, </w:t>
            </w:r>
            <w:r w:rsidR="00137FBB" w:rsidRPr="001A65F5">
              <w:rPr>
                <w:rFonts w:asciiTheme="minorHAnsi" w:hAnsiTheme="minorHAnsi" w:cstheme="minorHAnsi"/>
              </w:rPr>
              <w:t xml:space="preserve">based on last year’s national figures </w:t>
            </w:r>
            <w:proofErr w:type="gramStart"/>
            <w:r w:rsidRPr="001A65F5">
              <w:rPr>
                <w:rFonts w:asciiTheme="minorHAnsi" w:hAnsiTheme="minorHAnsi" w:cstheme="minorHAnsi"/>
              </w:rPr>
              <w:t xml:space="preserve">there  </w:t>
            </w:r>
            <w:r w:rsidR="00137FBB" w:rsidRPr="001A65F5">
              <w:rPr>
                <w:rFonts w:asciiTheme="minorHAnsi" w:hAnsiTheme="minorHAnsi" w:cstheme="minorHAnsi"/>
              </w:rPr>
              <w:t>is</w:t>
            </w:r>
            <w:proofErr w:type="gramEnd"/>
            <w:r w:rsidR="00137FBB" w:rsidRPr="001A65F5">
              <w:rPr>
                <w:rFonts w:asciiTheme="minorHAnsi" w:hAnsiTheme="minorHAnsi" w:cstheme="minorHAnsi"/>
              </w:rPr>
              <w:t xml:space="preserve">  an  achievement  gap  of  13%.  </w:t>
            </w:r>
          </w:p>
          <w:p w:rsidR="00137FBB" w:rsidRPr="001A65F5" w:rsidRDefault="00CC2C57" w:rsidP="00CC2C57">
            <w:pPr>
              <w:pStyle w:val="textbox"/>
              <w:shd w:val="clear" w:color="auto" w:fill="FFFFFF"/>
              <w:spacing w:before="0" w:beforeAutospacing="0" w:after="0" w:afterAutospacing="0"/>
              <w:rPr>
                <w:rFonts w:asciiTheme="minorHAnsi" w:hAnsiTheme="minorHAnsi" w:cstheme="minorHAnsi"/>
              </w:rPr>
            </w:pPr>
            <w:r w:rsidRPr="001A65F5">
              <w:rPr>
                <w:rFonts w:asciiTheme="minorHAnsi" w:hAnsiTheme="minorHAnsi" w:cstheme="minorHAnsi"/>
              </w:rPr>
              <w:t xml:space="preserve">National </w:t>
            </w:r>
            <w:proofErr w:type="gramStart"/>
            <w:r w:rsidR="00137FBB" w:rsidRPr="001A65F5">
              <w:rPr>
                <w:rFonts w:asciiTheme="minorHAnsi" w:hAnsiTheme="minorHAnsi" w:cstheme="minorHAnsi"/>
              </w:rPr>
              <w:t>d</w:t>
            </w:r>
            <w:r w:rsidRPr="001A65F5">
              <w:rPr>
                <w:rFonts w:asciiTheme="minorHAnsi" w:hAnsiTheme="minorHAnsi" w:cstheme="minorHAnsi"/>
              </w:rPr>
              <w:t>isadvantaged  is</w:t>
            </w:r>
            <w:proofErr w:type="gramEnd"/>
            <w:r w:rsidRPr="001A65F5">
              <w:rPr>
                <w:rFonts w:asciiTheme="minorHAnsi" w:hAnsiTheme="minorHAnsi" w:cstheme="minorHAnsi"/>
              </w:rPr>
              <w:t xml:space="preserve"> </w:t>
            </w:r>
            <w:r w:rsidR="00137FBB" w:rsidRPr="001A65F5">
              <w:rPr>
                <w:rFonts w:asciiTheme="minorHAnsi" w:hAnsiTheme="minorHAnsi" w:cstheme="minorHAnsi"/>
              </w:rPr>
              <w:t xml:space="preserve">54%.  Disadvantaged  pupils’  performance </w:t>
            </w:r>
            <w:r w:rsidR="001B75D9" w:rsidRPr="001A65F5">
              <w:rPr>
                <w:rFonts w:asciiTheme="minorHAnsi" w:hAnsiTheme="minorHAnsi" w:cstheme="minorHAnsi"/>
              </w:rPr>
              <w:t>in the school</w:t>
            </w:r>
            <w:r w:rsidR="00137FBB" w:rsidRPr="001A65F5">
              <w:rPr>
                <w:rFonts w:asciiTheme="minorHAnsi" w:hAnsiTheme="minorHAnsi" w:cstheme="minorHAnsi"/>
              </w:rPr>
              <w:t xml:space="preserve"> is  better  than  disadvantaged  pupils  nationally,  but  still  below  'Other'  pupils  nationally. </w:t>
            </w:r>
          </w:p>
          <w:p w:rsidR="00E70E52" w:rsidRPr="001A65F5" w:rsidRDefault="00E70E52" w:rsidP="00CC2C57">
            <w:pPr>
              <w:tabs>
                <w:tab w:val="left" w:pos="6249"/>
              </w:tabs>
              <w:rPr>
                <w:rFonts w:asciiTheme="minorHAnsi" w:eastAsia="Calibri" w:hAnsiTheme="minorHAnsi" w:cstheme="minorHAnsi"/>
                <w:b/>
                <w:lang w:val="en-GB"/>
              </w:rPr>
            </w:pPr>
          </w:p>
          <w:p w:rsidR="00E70E52" w:rsidRPr="001A65F5" w:rsidRDefault="00E52843" w:rsidP="00CC2C57">
            <w:pPr>
              <w:tabs>
                <w:tab w:val="left" w:pos="6249"/>
              </w:tabs>
              <w:rPr>
                <w:rFonts w:asciiTheme="minorHAnsi" w:eastAsia="Calibri" w:hAnsiTheme="minorHAnsi" w:cstheme="minorHAnsi"/>
                <w:b/>
                <w:lang w:val="en-GB"/>
              </w:rPr>
            </w:pPr>
            <w:r w:rsidRPr="001A65F5">
              <w:rPr>
                <w:rFonts w:asciiTheme="minorHAnsi" w:eastAsia="Calibri" w:hAnsiTheme="minorHAnsi" w:cstheme="minorHAnsi"/>
                <w:b/>
                <w:lang w:val="en-GB"/>
              </w:rPr>
              <w:t>Phonics screening Test</w:t>
            </w:r>
          </w:p>
          <w:p w:rsidR="00CC2C57" w:rsidRPr="001A65F5" w:rsidRDefault="00CC2C57" w:rsidP="00CC2C57">
            <w:pPr>
              <w:tabs>
                <w:tab w:val="left" w:pos="6249"/>
              </w:tabs>
              <w:rPr>
                <w:rFonts w:asciiTheme="minorHAnsi" w:eastAsia="Calibri" w:hAnsiTheme="minorHAnsi" w:cstheme="minorHAnsi"/>
                <w:b/>
                <w:lang w:val="en-GB"/>
              </w:rPr>
            </w:pPr>
            <w:r w:rsidRPr="001A65F5">
              <w:rPr>
                <w:rFonts w:asciiTheme="minorHAnsi" w:eastAsia="Calibri" w:hAnsiTheme="minorHAnsi" w:cstheme="minorHAnsi"/>
                <w:lang w:val="en-GB"/>
              </w:rPr>
              <w:t>School Disadvantaged vs National 'Other' (Not Disadvantaged)</w:t>
            </w:r>
          </w:p>
          <w:p w:rsidR="00CC2C57" w:rsidRPr="001A65F5" w:rsidRDefault="00CC2C57" w:rsidP="00CC2C57">
            <w:pPr>
              <w:tabs>
                <w:tab w:val="left" w:pos="6249"/>
              </w:tabs>
              <w:rPr>
                <w:rFonts w:asciiTheme="minorHAnsi" w:eastAsia="Calibri" w:hAnsiTheme="minorHAnsi" w:cstheme="minorHAnsi"/>
                <w:b/>
                <w:lang w:val="en-GB"/>
              </w:rPr>
            </w:pPr>
            <w:r w:rsidRPr="001A65F5">
              <w:rPr>
                <w:rFonts w:asciiTheme="minorHAnsi" w:hAnsiTheme="minorHAnsi" w:cstheme="minorHAnsi"/>
                <w:shd w:val="clear" w:color="auto" w:fill="FFFFFF"/>
              </w:rPr>
              <w:t>29%  of  pupils  are  disadvantaged - 10  pupils  (7  boys  and  3  girls).</w:t>
            </w:r>
          </w:p>
          <w:p w:rsidR="001B75D9" w:rsidRPr="001A65F5" w:rsidRDefault="00CC2C57" w:rsidP="00CC2C57">
            <w:pPr>
              <w:pStyle w:val="textbox"/>
              <w:shd w:val="clear" w:color="auto" w:fill="FFFFFF"/>
              <w:spacing w:before="0" w:beforeAutospacing="0" w:after="0" w:afterAutospacing="0"/>
              <w:rPr>
                <w:rFonts w:asciiTheme="minorHAnsi" w:hAnsiTheme="minorHAnsi" w:cstheme="minorHAnsi"/>
              </w:rPr>
            </w:pPr>
            <w:r w:rsidRPr="001A65F5">
              <w:rPr>
                <w:rFonts w:asciiTheme="minorHAnsi" w:hAnsiTheme="minorHAnsi" w:cstheme="minorHAnsi"/>
              </w:rPr>
              <w:t xml:space="preserve">70% of </w:t>
            </w:r>
            <w:r w:rsidR="001B75D9" w:rsidRPr="001A65F5">
              <w:rPr>
                <w:rFonts w:asciiTheme="minorHAnsi" w:hAnsiTheme="minorHAnsi" w:cstheme="minorHAnsi"/>
              </w:rPr>
              <w:t>disadvantaged  pupils  achieved  the  standard  compared  to  84% (2017 figure)  of  'Other'  p</w:t>
            </w:r>
            <w:r w:rsidRPr="001A65F5">
              <w:rPr>
                <w:rFonts w:asciiTheme="minorHAnsi" w:hAnsiTheme="minorHAnsi" w:cstheme="minorHAnsi"/>
              </w:rPr>
              <w:t>upils  n</w:t>
            </w:r>
            <w:r w:rsidR="001B75D9" w:rsidRPr="001A65F5">
              <w:rPr>
                <w:rFonts w:asciiTheme="minorHAnsi" w:hAnsiTheme="minorHAnsi" w:cstheme="minorHAnsi"/>
              </w:rPr>
              <w:t xml:space="preserve">ationally.  Therefore, there is an </w:t>
            </w:r>
            <w:proofErr w:type="gramStart"/>
            <w:r w:rsidR="001B75D9" w:rsidRPr="001A65F5">
              <w:rPr>
                <w:rFonts w:asciiTheme="minorHAnsi" w:hAnsiTheme="minorHAnsi" w:cstheme="minorHAnsi"/>
              </w:rPr>
              <w:t>achievement  gap</w:t>
            </w:r>
            <w:proofErr w:type="gramEnd"/>
            <w:r w:rsidR="001B75D9" w:rsidRPr="001A65F5">
              <w:rPr>
                <w:rFonts w:asciiTheme="minorHAnsi" w:hAnsiTheme="minorHAnsi" w:cstheme="minorHAnsi"/>
              </w:rPr>
              <w:t xml:space="preserve">  of 14%.  Nati</w:t>
            </w:r>
            <w:r w:rsidRPr="001A65F5">
              <w:rPr>
                <w:rFonts w:asciiTheme="minorHAnsi" w:hAnsiTheme="minorHAnsi" w:cstheme="minorHAnsi"/>
              </w:rPr>
              <w:t xml:space="preserve">onal </w:t>
            </w:r>
            <w:r w:rsidR="001B75D9" w:rsidRPr="001A65F5">
              <w:rPr>
                <w:rFonts w:asciiTheme="minorHAnsi" w:hAnsiTheme="minorHAnsi" w:cstheme="minorHAnsi"/>
              </w:rPr>
              <w:t>disadvantaged is 69% (2017)</w:t>
            </w:r>
            <w:r w:rsidRPr="001A65F5">
              <w:rPr>
                <w:rFonts w:asciiTheme="minorHAnsi" w:hAnsiTheme="minorHAnsi" w:cstheme="minorHAnsi"/>
              </w:rPr>
              <w:t xml:space="preserve">.  Disadvantaged </w:t>
            </w:r>
            <w:proofErr w:type="gramStart"/>
            <w:r w:rsidRPr="001A65F5">
              <w:rPr>
                <w:rFonts w:asciiTheme="minorHAnsi" w:hAnsiTheme="minorHAnsi" w:cstheme="minorHAnsi"/>
              </w:rPr>
              <w:t xml:space="preserve">pupils’ </w:t>
            </w:r>
            <w:r w:rsidR="001B75D9" w:rsidRPr="001A65F5">
              <w:rPr>
                <w:rFonts w:asciiTheme="minorHAnsi" w:hAnsiTheme="minorHAnsi" w:cstheme="minorHAnsi"/>
              </w:rPr>
              <w:t xml:space="preserve"> performance</w:t>
            </w:r>
            <w:proofErr w:type="gramEnd"/>
            <w:r w:rsidR="001B75D9" w:rsidRPr="001A65F5">
              <w:rPr>
                <w:rFonts w:asciiTheme="minorHAnsi" w:hAnsiTheme="minorHAnsi" w:cstheme="minorHAnsi"/>
              </w:rPr>
              <w:t xml:space="preserve">  is similar  </w:t>
            </w:r>
            <w:r w:rsidRPr="001A65F5">
              <w:rPr>
                <w:rFonts w:asciiTheme="minorHAnsi" w:hAnsiTheme="minorHAnsi" w:cstheme="minorHAnsi"/>
              </w:rPr>
              <w:t xml:space="preserve">to </w:t>
            </w:r>
            <w:r w:rsidR="001B75D9" w:rsidRPr="001A65F5">
              <w:rPr>
                <w:rFonts w:asciiTheme="minorHAnsi" w:hAnsiTheme="minorHAnsi" w:cstheme="minorHAnsi"/>
              </w:rPr>
              <w:t xml:space="preserve">disadvantaged  pupils nationally, but still  below  'Other'  pupils  nationally.  </w:t>
            </w:r>
          </w:p>
          <w:p w:rsidR="00E70E52" w:rsidRPr="001A65F5" w:rsidRDefault="00E70E52">
            <w:pPr>
              <w:tabs>
                <w:tab w:val="left" w:pos="6249"/>
              </w:tabs>
              <w:rPr>
                <w:rFonts w:asciiTheme="minorHAnsi" w:eastAsia="Calibri" w:hAnsiTheme="minorHAnsi" w:cstheme="minorHAnsi"/>
                <w:b/>
                <w:lang w:val="en-GB"/>
              </w:rPr>
            </w:pPr>
          </w:p>
          <w:p w:rsidR="00E70E52" w:rsidRPr="001A65F5" w:rsidRDefault="00E52843">
            <w:pPr>
              <w:tabs>
                <w:tab w:val="left" w:pos="6249"/>
              </w:tabs>
              <w:rPr>
                <w:rFonts w:asciiTheme="minorHAnsi" w:eastAsia="Calibri" w:hAnsiTheme="minorHAnsi" w:cstheme="minorHAnsi"/>
                <w:b/>
                <w:lang w:val="en-GB"/>
              </w:rPr>
            </w:pPr>
            <w:r w:rsidRPr="001A65F5">
              <w:rPr>
                <w:rFonts w:asciiTheme="minorHAnsi" w:eastAsia="Calibri" w:hAnsiTheme="minorHAnsi" w:cstheme="minorHAnsi"/>
                <w:b/>
                <w:lang w:val="en-GB"/>
              </w:rPr>
              <w:t>Keys stage 1</w:t>
            </w:r>
          </w:p>
          <w:p w:rsidR="00CC2C57" w:rsidRPr="001A65F5" w:rsidRDefault="00CC2C57" w:rsidP="00CC2C57">
            <w:pPr>
              <w:pStyle w:val="textbox"/>
              <w:shd w:val="clear" w:color="auto" w:fill="FFFFFF"/>
              <w:spacing w:before="0" w:beforeAutospacing="0" w:after="0" w:afterAutospacing="0"/>
              <w:rPr>
                <w:rFonts w:asciiTheme="minorHAnsi" w:hAnsiTheme="minorHAnsi" w:cstheme="minorHAnsi"/>
              </w:rPr>
            </w:pPr>
            <w:r w:rsidRPr="001A65F5">
              <w:rPr>
                <w:rFonts w:asciiTheme="minorHAnsi" w:hAnsiTheme="minorHAnsi" w:cstheme="minorHAnsi"/>
              </w:rPr>
              <w:t xml:space="preserve">38% of  pupils  are  Disadvantaged  -  11  pupils  (6  boys  and  5  girls).  </w:t>
            </w:r>
          </w:p>
          <w:p w:rsidR="00CC2C57" w:rsidRPr="001A65F5" w:rsidRDefault="00CC2C57" w:rsidP="00CC2C57">
            <w:pPr>
              <w:pStyle w:val="textbox"/>
              <w:shd w:val="clear" w:color="auto" w:fill="FFFFFF"/>
              <w:spacing w:before="0" w:beforeAutospacing="0" w:after="0" w:afterAutospacing="0"/>
              <w:rPr>
                <w:rFonts w:asciiTheme="minorHAnsi" w:hAnsiTheme="minorHAnsi" w:cstheme="minorHAnsi"/>
              </w:rPr>
            </w:pPr>
          </w:p>
          <w:p w:rsidR="00E70E52" w:rsidRPr="001A65F5" w:rsidRDefault="00E52843">
            <w:pPr>
              <w:tabs>
                <w:tab w:val="left" w:pos="6249"/>
              </w:tabs>
              <w:rPr>
                <w:rFonts w:asciiTheme="minorHAnsi" w:eastAsia="Calibri" w:hAnsiTheme="minorHAnsi" w:cstheme="minorHAnsi"/>
                <w:lang w:val="en-GB"/>
              </w:rPr>
            </w:pPr>
            <w:r w:rsidRPr="001A65F5">
              <w:rPr>
                <w:rFonts w:asciiTheme="minorHAnsi" w:eastAsia="Calibri" w:hAnsiTheme="minorHAnsi" w:cstheme="minorHAnsi"/>
                <w:b/>
                <w:lang w:val="en-GB"/>
              </w:rPr>
              <w:t>Reading</w:t>
            </w:r>
            <w:r w:rsidRPr="001A65F5">
              <w:rPr>
                <w:rFonts w:asciiTheme="minorHAnsi" w:eastAsia="Calibri" w:hAnsiTheme="minorHAnsi" w:cstheme="minorHAnsi"/>
                <w:lang w:val="en-GB"/>
              </w:rPr>
              <w:t xml:space="preserve"> School Disadvan</w:t>
            </w:r>
            <w:r w:rsidR="00FA608C" w:rsidRPr="001A65F5">
              <w:rPr>
                <w:rFonts w:asciiTheme="minorHAnsi" w:eastAsia="Calibri" w:hAnsiTheme="minorHAnsi" w:cstheme="minorHAnsi"/>
                <w:lang w:val="en-GB"/>
              </w:rPr>
              <w:t>taged vs National 'Other' (Not d</w:t>
            </w:r>
            <w:r w:rsidRPr="001A65F5">
              <w:rPr>
                <w:rFonts w:asciiTheme="minorHAnsi" w:eastAsia="Calibri" w:hAnsiTheme="minorHAnsi" w:cstheme="minorHAnsi"/>
                <w:lang w:val="en-GB"/>
              </w:rPr>
              <w:t>isadvantaged)</w:t>
            </w:r>
          </w:p>
          <w:p w:rsidR="00CC2C57" w:rsidRPr="001A65F5" w:rsidRDefault="00CC2C57" w:rsidP="00CC2C57">
            <w:pPr>
              <w:pStyle w:val="textbox"/>
              <w:shd w:val="clear" w:color="auto" w:fill="FFFFFF"/>
              <w:spacing w:before="0" w:beforeAutospacing="0" w:after="0" w:afterAutospacing="0"/>
              <w:rPr>
                <w:rFonts w:asciiTheme="minorHAnsi" w:hAnsiTheme="minorHAnsi" w:cstheme="minorHAnsi"/>
              </w:rPr>
            </w:pPr>
            <w:r w:rsidRPr="001A65F5">
              <w:rPr>
                <w:rFonts w:asciiTheme="minorHAnsi" w:hAnsiTheme="minorHAnsi" w:cstheme="minorHAnsi"/>
              </w:rPr>
              <w:t xml:space="preserve">64%  of  disadvantaged  pupils  achieved  the  expected  standard  compared  to  79%  (2017) of  'Other'  pupils  Nationally.  Therefore, there is an </w:t>
            </w:r>
            <w:r w:rsidR="00FA608C" w:rsidRPr="001A65F5">
              <w:rPr>
                <w:rFonts w:asciiTheme="minorHAnsi" w:hAnsiTheme="minorHAnsi" w:cstheme="minorHAnsi"/>
              </w:rPr>
              <w:t xml:space="preserve">achievement </w:t>
            </w:r>
            <w:proofErr w:type="gramStart"/>
            <w:r w:rsidRPr="001A65F5">
              <w:rPr>
                <w:rFonts w:asciiTheme="minorHAnsi" w:hAnsiTheme="minorHAnsi" w:cstheme="minorHAnsi"/>
              </w:rPr>
              <w:t>gap  of</w:t>
            </w:r>
            <w:proofErr w:type="gramEnd"/>
            <w:r w:rsidRPr="001A65F5">
              <w:rPr>
                <w:rFonts w:asciiTheme="minorHAnsi" w:hAnsiTheme="minorHAnsi" w:cstheme="minorHAnsi"/>
              </w:rPr>
              <w:t xml:space="preserve"> 15%. </w:t>
            </w:r>
            <w:proofErr w:type="gramStart"/>
            <w:r w:rsidRPr="001A65F5">
              <w:rPr>
                <w:rFonts w:asciiTheme="minorHAnsi" w:hAnsiTheme="minorHAnsi" w:cstheme="minorHAnsi"/>
              </w:rPr>
              <w:t>National  disadvantaged</w:t>
            </w:r>
            <w:proofErr w:type="gramEnd"/>
            <w:r w:rsidRPr="001A65F5">
              <w:rPr>
                <w:rFonts w:asciiTheme="minorHAnsi" w:hAnsiTheme="minorHAnsi" w:cstheme="minorHAnsi"/>
              </w:rPr>
              <w:t xml:space="preserve"> is 60%.  Disadvantaged  pupils  performance  is  better  than  disadvantaged  pupils  nationally,  but  still  below  'Other'  pupils  Nationally. </w:t>
            </w:r>
          </w:p>
          <w:p w:rsidR="00CC2C57" w:rsidRPr="001A65F5" w:rsidRDefault="00CC2C57">
            <w:pPr>
              <w:tabs>
                <w:tab w:val="left" w:pos="6249"/>
              </w:tabs>
              <w:rPr>
                <w:rFonts w:asciiTheme="minorHAnsi" w:eastAsia="Calibri" w:hAnsiTheme="minorHAnsi" w:cstheme="minorHAnsi"/>
                <w:lang w:val="en-GB"/>
              </w:rPr>
            </w:pPr>
          </w:p>
          <w:p w:rsidR="00E70E52" w:rsidRPr="001A65F5" w:rsidRDefault="00E52843">
            <w:pPr>
              <w:tabs>
                <w:tab w:val="left" w:pos="6249"/>
              </w:tabs>
              <w:rPr>
                <w:rFonts w:asciiTheme="minorHAnsi" w:eastAsia="Calibri" w:hAnsiTheme="minorHAnsi" w:cstheme="minorHAnsi"/>
                <w:lang w:val="en-GB"/>
              </w:rPr>
            </w:pPr>
            <w:r w:rsidRPr="001A65F5">
              <w:rPr>
                <w:rFonts w:asciiTheme="minorHAnsi" w:eastAsia="Calibri" w:hAnsiTheme="minorHAnsi" w:cstheme="minorHAnsi"/>
                <w:b/>
                <w:lang w:val="en-GB"/>
              </w:rPr>
              <w:t>Writing</w:t>
            </w:r>
            <w:r w:rsidRPr="001A65F5">
              <w:rPr>
                <w:rFonts w:asciiTheme="minorHAnsi" w:eastAsia="Calibri" w:hAnsiTheme="minorHAnsi" w:cstheme="minorHAnsi"/>
                <w:lang w:val="en-GB"/>
              </w:rPr>
              <w:t xml:space="preserve"> School Disadvan</w:t>
            </w:r>
            <w:r w:rsidR="00FA608C" w:rsidRPr="001A65F5">
              <w:rPr>
                <w:rFonts w:asciiTheme="minorHAnsi" w:eastAsia="Calibri" w:hAnsiTheme="minorHAnsi" w:cstheme="minorHAnsi"/>
                <w:lang w:val="en-GB"/>
              </w:rPr>
              <w:t>taged vs National 'Other' (Not d</w:t>
            </w:r>
            <w:r w:rsidRPr="001A65F5">
              <w:rPr>
                <w:rFonts w:asciiTheme="minorHAnsi" w:eastAsia="Calibri" w:hAnsiTheme="minorHAnsi" w:cstheme="minorHAnsi"/>
                <w:lang w:val="en-GB"/>
              </w:rPr>
              <w:t>isadvantaged)</w:t>
            </w:r>
          </w:p>
          <w:p w:rsidR="00FA608C" w:rsidRPr="001A65F5" w:rsidRDefault="00FA608C" w:rsidP="00FA608C">
            <w:pPr>
              <w:pStyle w:val="textbox"/>
              <w:shd w:val="clear" w:color="auto" w:fill="FFFFFF"/>
              <w:spacing w:before="0" w:beforeAutospacing="0" w:after="0" w:afterAutospacing="0"/>
              <w:rPr>
                <w:rFonts w:asciiTheme="minorHAnsi" w:hAnsiTheme="minorHAnsi" w:cstheme="minorHAnsi"/>
              </w:rPr>
            </w:pPr>
            <w:r w:rsidRPr="001A65F5">
              <w:rPr>
                <w:rFonts w:asciiTheme="minorHAnsi" w:hAnsiTheme="minorHAnsi" w:cstheme="minorHAnsi"/>
              </w:rPr>
              <w:t xml:space="preserve">73%  of  disadvantaged  pupils  achieved  the  expected  standard  compared  to  72% (2017)  of  'Other'  pupils  Nationally.  Therefore, </w:t>
            </w:r>
            <w:proofErr w:type="gramStart"/>
            <w:r w:rsidRPr="001A65F5">
              <w:rPr>
                <w:rFonts w:asciiTheme="minorHAnsi" w:hAnsiTheme="minorHAnsi" w:cstheme="minorHAnsi"/>
              </w:rPr>
              <w:t>there  is</w:t>
            </w:r>
            <w:proofErr w:type="gramEnd"/>
            <w:r w:rsidRPr="001A65F5">
              <w:rPr>
                <w:rFonts w:asciiTheme="minorHAnsi" w:hAnsiTheme="minorHAnsi" w:cstheme="minorHAnsi"/>
              </w:rPr>
              <w:t xml:space="preserve">  an  achievement  gap  of 1%.  </w:t>
            </w:r>
            <w:proofErr w:type="gramStart"/>
            <w:r w:rsidRPr="001A65F5">
              <w:rPr>
                <w:rFonts w:asciiTheme="minorHAnsi" w:hAnsiTheme="minorHAnsi" w:cstheme="minorHAnsi"/>
              </w:rPr>
              <w:t>National  disadvantaged</w:t>
            </w:r>
            <w:proofErr w:type="gramEnd"/>
            <w:r w:rsidRPr="001A65F5">
              <w:rPr>
                <w:rFonts w:asciiTheme="minorHAnsi" w:hAnsiTheme="minorHAnsi" w:cstheme="minorHAnsi"/>
              </w:rPr>
              <w:t xml:space="preserve">  is 50%.  The performance  of disadvantaged  pupils  in school is better  than  </w:t>
            </w:r>
          </w:p>
          <w:p w:rsidR="00FA608C" w:rsidRPr="001A65F5" w:rsidRDefault="00FA608C" w:rsidP="00FA608C">
            <w:pPr>
              <w:pStyle w:val="textbox"/>
              <w:shd w:val="clear" w:color="auto" w:fill="FFFFFF"/>
              <w:spacing w:before="0" w:beforeAutospacing="0" w:after="0" w:afterAutospacing="0"/>
              <w:rPr>
                <w:rFonts w:asciiTheme="minorHAnsi" w:hAnsiTheme="minorHAnsi" w:cstheme="minorHAnsi"/>
              </w:rPr>
            </w:pPr>
            <w:proofErr w:type="gramStart"/>
            <w:r w:rsidRPr="001A65F5">
              <w:rPr>
                <w:rFonts w:asciiTheme="minorHAnsi" w:hAnsiTheme="minorHAnsi" w:cstheme="minorHAnsi"/>
              </w:rPr>
              <w:t>'Other'  pupils</w:t>
            </w:r>
            <w:proofErr w:type="gramEnd"/>
            <w:r w:rsidRPr="001A65F5">
              <w:rPr>
                <w:rFonts w:asciiTheme="minorHAnsi" w:hAnsiTheme="minorHAnsi" w:cstheme="minorHAnsi"/>
              </w:rPr>
              <w:t xml:space="preserve">  Nationally.  </w:t>
            </w:r>
          </w:p>
          <w:p w:rsidR="00E70E52" w:rsidRPr="001A65F5" w:rsidRDefault="00E70E52">
            <w:pPr>
              <w:tabs>
                <w:tab w:val="left" w:pos="6249"/>
              </w:tabs>
              <w:rPr>
                <w:rFonts w:asciiTheme="minorHAnsi" w:eastAsia="Calibri" w:hAnsiTheme="minorHAnsi" w:cstheme="minorHAnsi"/>
                <w:b/>
                <w:lang w:val="en-GB"/>
              </w:rPr>
            </w:pPr>
          </w:p>
          <w:p w:rsidR="00FA608C" w:rsidRPr="001A65F5" w:rsidRDefault="00E52843">
            <w:pPr>
              <w:tabs>
                <w:tab w:val="left" w:pos="6249"/>
              </w:tabs>
              <w:rPr>
                <w:rFonts w:asciiTheme="minorHAnsi" w:hAnsiTheme="minorHAnsi" w:cstheme="minorHAnsi"/>
              </w:rPr>
            </w:pPr>
            <w:r w:rsidRPr="001A65F5">
              <w:rPr>
                <w:rFonts w:asciiTheme="minorHAnsi" w:eastAsia="Calibri" w:hAnsiTheme="minorHAnsi" w:cstheme="minorHAnsi"/>
                <w:b/>
                <w:lang w:val="en-GB"/>
              </w:rPr>
              <w:t>Maths</w:t>
            </w:r>
            <w:r w:rsidRPr="001A65F5">
              <w:rPr>
                <w:rFonts w:asciiTheme="minorHAnsi" w:eastAsia="Calibri" w:hAnsiTheme="minorHAnsi" w:cstheme="minorHAnsi"/>
                <w:lang w:val="en-GB"/>
              </w:rPr>
              <w:t xml:space="preserve"> School Disadvan</w:t>
            </w:r>
            <w:r w:rsidR="00FA608C" w:rsidRPr="001A65F5">
              <w:rPr>
                <w:rFonts w:asciiTheme="minorHAnsi" w:eastAsia="Calibri" w:hAnsiTheme="minorHAnsi" w:cstheme="minorHAnsi"/>
                <w:lang w:val="en-GB"/>
              </w:rPr>
              <w:t>taged vs National 'Other' (Not d</w:t>
            </w:r>
            <w:r w:rsidRPr="001A65F5">
              <w:rPr>
                <w:rFonts w:asciiTheme="minorHAnsi" w:eastAsia="Calibri" w:hAnsiTheme="minorHAnsi" w:cstheme="minorHAnsi"/>
                <w:lang w:val="en-GB"/>
              </w:rPr>
              <w:t>isadvantaged)</w:t>
            </w:r>
            <w:r w:rsidR="00FA608C" w:rsidRPr="001A65F5">
              <w:rPr>
                <w:rFonts w:asciiTheme="minorHAnsi" w:hAnsiTheme="minorHAnsi" w:cstheme="minorHAnsi"/>
              </w:rPr>
              <w:t xml:space="preserve"> </w:t>
            </w:r>
          </w:p>
          <w:p w:rsidR="00E70E52" w:rsidRPr="001A65F5" w:rsidRDefault="00FA608C">
            <w:pPr>
              <w:tabs>
                <w:tab w:val="left" w:pos="6249"/>
              </w:tabs>
              <w:rPr>
                <w:rFonts w:asciiTheme="minorHAnsi" w:eastAsia="Calibri" w:hAnsiTheme="minorHAnsi" w:cstheme="minorHAnsi"/>
                <w:lang w:val="en-GB"/>
              </w:rPr>
            </w:pPr>
            <w:r w:rsidRPr="001A65F5">
              <w:rPr>
                <w:rFonts w:asciiTheme="minorHAnsi" w:eastAsia="Calibri" w:hAnsiTheme="minorHAnsi" w:cstheme="minorHAnsi"/>
                <w:lang w:val="en-GB"/>
              </w:rPr>
              <w:t xml:space="preserve">73%  of  disadvantaged  pupils  achieved  the  expected  standard  compared  to  79% (2017)  of  'Other'  pupils  Nationally.  Therefore, </w:t>
            </w:r>
            <w:proofErr w:type="gramStart"/>
            <w:r w:rsidRPr="001A65F5">
              <w:rPr>
                <w:rFonts w:asciiTheme="minorHAnsi" w:eastAsia="Calibri" w:hAnsiTheme="minorHAnsi" w:cstheme="minorHAnsi"/>
                <w:lang w:val="en-GB"/>
              </w:rPr>
              <w:t>there  is</w:t>
            </w:r>
            <w:proofErr w:type="gramEnd"/>
            <w:r w:rsidRPr="001A65F5">
              <w:rPr>
                <w:rFonts w:asciiTheme="minorHAnsi" w:eastAsia="Calibri" w:hAnsiTheme="minorHAnsi" w:cstheme="minorHAnsi"/>
                <w:lang w:val="en-GB"/>
              </w:rPr>
              <w:t xml:space="preserve">  an  achievement  gap  of  6%.  </w:t>
            </w:r>
            <w:proofErr w:type="gramStart"/>
            <w:r w:rsidRPr="001A65F5">
              <w:rPr>
                <w:rFonts w:asciiTheme="minorHAnsi" w:eastAsia="Calibri" w:hAnsiTheme="minorHAnsi" w:cstheme="minorHAnsi"/>
                <w:lang w:val="en-GB"/>
              </w:rPr>
              <w:t>National  disadvantaged</w:t>
            </w:r>
            <w:proofErr w:type="gramEnd"/>
            <w:r w:rsidRPr="001A65F5">
              <w:rPr>
                <w:rFonts w:asciiTheme="minorHAnsi" w:eastAsia="Calibri" w:hAnsiTheme="minorHAnsi" w:cstheme="minorHAnsi"/>
                <w:lang w:val="en-GB"/>
              </w:rPr>
              <w:t xml:space="preserve">  is  58%.  Disadvantaged  pupils  performance  is  better  than  disadvantaged  pupils  nationally,  but  still  below  'Other'  pupils  Nationally.</w:t>
            </w:r>
          </w:p>
          <w:p w:rsidR="00E70E52" w:rsidRPr="001A65F5" w:rsidRDefault="00E70E52">
            <w:pPr>
              <w:tabs>
                <w:tab w:val="left" w:pos="6249"/>
              </w:tabs>
              <w:rPr>
                <w:rFonts w:asciiTheme="minorHAnsi" w:eastAsia="Calibri" w:hAnsiTheme="minorHAnsi" w:cstheme="minorHAnsi"/>
                <w:lang w:val="en-GB"/>
              </w:rPr>
            </w:pPr>
          </w:p>
          <w:p w:rsidR="00E70E52" w:rsidRPr="001A65F5" w:rsidRDefault="00E52843">
            <w:pPr>
              <w:tabs>
                <w:tab w:val="left" w:pos="6249"/>
              </w:tabs>
              <w:rPr>
                <w:rFonts w:asciiTheme="minorHAnsi" w:eastAsia="Calibri" w:hAnsiTheme="minorHAnsi" w:cstheme="minorHAnsi"/>
                <w:b/>
                <w:lang w:val="en-GB"/>
              </w:rPr>
            </w:pPr>
            <w:r w:rsidRPr="001A65F5">
              <w:rPr>
                <w:rFonts w:asciiTheme="minorHAnsi" w:eastAsia="Calibri" w:hAnsiTheme="minorHAnsi" w:cstheme="minorHAnsi"/>
                <w:b/>
                <w:lang w:val="en-GB"/>
              </w:rPr>
              <w:t>Key Stage 2</w:t>
            </w:r>
          </w:p>
          <w:p w:rsidR="00FA608C" w:rsidRPr="001A65F5" w:rsidRDefault="00FA608C">
            <w:pPr>
              <w:tabs>
                <w:tab w:val="left" w:pos="6249"/>
              </w:tabs>
              <w:rPr>
                <w:rFonts w:asciiTheme="minorHAnsi" w:eastAsia="Calibri" w:hAnsiTheme="minorHAnsi" w:cstheme="minorHAnsi"/>
                <w:lang w:val="en-GB"/>
              </w:rPr>
            </w:pPr>
            <w:r w:rsidRPr="001A65F5">
              <w:rPr>
                <w:rFonts w:asciiTheme="minorHAnsi" w:eastAsia="Calibri" w:hAnsiTheme="minorHAnsi" w:cstheme="minorHAnsi"/>
                <w:lang w:val="en-GB"/>
              </w:rPr>
              <w:t xml:space="preserve">The national figures for expected </w:t>
            </w:r>
            <w:r w:rsidR="00F229EF" w:rsidRPr="001A65F5">
              <w:rPr>
                <w:rFonts w:asciiTheme="minorHAnsi" w:eastAsia="Calibri" w:hAnsiTheme="minorHAnsi" w:cstheme="minorHAnsi"/>
                <w:lang w:val="en-GB"/>
              </w:rPr>
              <w:t xml:space="preserve">standards are 2018 </w:t>
            </w:r>
            <w:proofErr w:type="gramStart"/>
            <w:r w:rsidR="00F229EF" w:rsidRPr="001A65F5">
              <w:rPr>
                <w:rFonts w:asciiTheme="minorHAnsi" w:eastAsia="Calibri" w:hAnsiTheme="minorHAnsi" w:cstheme="minorHAnsi"/>
                <w:lang w:val="en-GB"/>
              </w:rPr>
              <w:t>values</w:t>
            </w:r>
            <w:r w:rsidRPr="001A65F5">
              <w:rPr>
                <w:rFonts w:asciiTheme="minorHAnsi" w:eastAsia="Calibri" w:hAnsiTheme="minorHAnsi" w:cstheme="minorHAnsi"/>
                <w:lang w:val="en-GB"/>
              </w:rPr>
              <w:t>,</w:t>
            </w:r>
            <w:proofErr w:type="gramEnd"/>
            <w:r w:rsidRPr="001A65F5">
              <w:rPr>
                <w:rFonts w:asciiTheme="minorHAnsi" w:eastAsia="Calibri" w:hAnsiTheme="minorHAnsi" w:cstheme="minorHAnsi"/>
                <w:lang w:val="en-GB"/>
              </w:rPr>
              <w:t xml:space="preserve"> all other national figures are for 2017 as national figures are not yet released.</w:t>
            </w:r>
          </w:p>
          <w:p w:rsidR="00F229EF" w:rsidRPr="001A65F5" w:rsidRDefault="00F229EF">
            <w:pPr>
              <w:tabs>
                <w:tab w:val="left" w:pos="6249"/>
              </w:tabs>
              <w:rPr>
                <w:rFonts w:asciiTheme="minorHAnsi" w:eastAsia="Calibri" w:hAnsiTheme="minorHAnsi" w:cstheme="minorHAnsi"/>
                <w:lang w:val="en-GB"/>
              </w:rPr>
            </w:pPr>
            <w:r w:rsidRPr="001A65F5">
              <w:rPr>
                <w:rFonts w:asciiTheme="minorHAnsi" w:eastAsia="Calibri" w:hAnsiTheme="minorHAnsi" w:cstheme="minorHAnsi"/>
              </w:rPr>
              <w:t>52%  of  pupils  are  disadvantaged  -  15  pupils  (10  boys  and  5  girls).</w:t>
            </w:r>
          </w:p>
          <w:p w:rsidR="00E70E52" w:rsidRPr="001A65F5" w:rsidRDefault="00E70E52">
            <w:pPr>
              <w:pStyle w:val="Default"/>
              <w:rPr>
                <w:rFonts w:asciiTheme="minorHAnsi" w:eastAsia="Calibri" w:hAnsiTheme="minorHAnsi" w:cstheme="minorHAnsi"/>
                <w:b/>
              </w:rPr>
            </w:pPr>
          </w:p>
          <w:p w:rsidR="00E70E52" w:rsidRPr="001A65F5" w:rsidRDefault="00E52843">
            <w:pPr>
              <w:pStyle w:val="Default"/>
              <w:rPr>
                <w:rFonts w:asciiTheme="minorHAnsi" w:eastAsia="Calibri" w:hAnsiTheme="minorHAnsi" w:cstheme="minorHAnsi"/>
              </w:rPr>
            </w:pPr>
            <w:r w:rsidRPr="001A65F5">
              <w:rPr>
                <w:rFonts w:asciiTheme="minorHAnsi" w:eastAsia="Calibri" w:hAnsiTheme="minorHAnsi" w:cstheme="minorHAnsi"/>
                <w:b/>
              </w:rPr>
              <w:t xml:space="preserve">RWM </w:t>
            </w:r>
            <w:r w:rsidRPr="001A65F5">
              <w:rPr>
                <w:rFonts w:asciiTheme="minorHAnsi" w:eastAsia="Calibri" w:hAnsiTheme="minorHAnsi" w:cstheme="minorHAnsi"/>
              </w:rPr>
              <w:t>combined (EXP) School Disadvan</w:t>
            </w:r>
            <w:r w:rsidR="00F229EF" w:rsidRPr="001A65F5">
              <w:rPr>
                <w:rFonts w:asciiTheme="minorHAnsi" w:eastAsia="Calibri" w:hAnsiTheme="minorHAnsi" w:cstheme="minorHAnsi"/>
              </w:rPr>
              <w:t>taged vs National 'Other' (Not d</w:t>
            </w:r>
            <w:r w:rsidRPr="001A65F5">
              <w:rPr>
                <w:rFonts w:asciiTheme="minorHAnsi" w:eastAsia="Calibri" w:hAnsiTheme="minorHAnsi" w:cstheme="minorHAnsi"/>
              </w:rPr>
              <w:t>isadvantaged)</w:t>
            </w:r>
          </w:p>
          <w:p w:rsidR="00F229EF" w:rsidRPr="001A65F5" w:rsidRDefault="00F229EF">
            <w:pPr>
              <w:pStyle w:val="Default"/>
              <w:rPr>
                <w:rFonts w:asciiTheme="minorHAnsi" w:eastAsia="Calibri" w:hAnsiTheme="minorHAnsi" w:cstheme="minorHAnsi"/>
              </w:rPr>
            </w:pPr>
            <w:r w:rsidRPr="001A65F5">
              <w:rPr>
                <w:rFonts w:asciiTheme="minorHAnsi" w:eastAsia="Calibri" w:hAnsiTheme="minorHAnsi" w:cstheme="minorHAnsi"/>
              </w:rPr>
              <w:t xml:space="preserve">67%  of  disadvantaged  pupils  achieved  the  expected  standard  compared  to  67%  of  'Other'  pupils  Nationally.  Therefore, there is no </w:t>
            </w:r>
            <w:proofErr w:type="gramStart"/>
            <w:r w:rsidRPr="001A65F5">
              <w:rPr>
                <w:rFonts w:asciiTheme="minorHAnsi" w:eastAsia="Calibri" w:hAnsiTheme="minorHAnsi" w:cstheme="minorHAnsi"/>
              </w:rPr>
              <w:t>achievement  gap</w:t>
            </w:r>
            <w:proofErr w:type="gramEnd"/>
            <w:r w:rsidRPr="001A65F5">
              <w:rPr>
                <w:rFonts w:asciiTheme="minorHAnsi" w:eastAsia="Calibri" w:hAnsiTheme="minorHAnsi" w:cstheme="minorHAnsi"/>
              </w:rPr>
              <w:t xml:space="preserve"> National  disadvantaged  is  48%. The performance  of  disadvantaged  pupils  in  school  is  similar  to 'Other'  pupils  Nationally.</w:t>
            </w:r>
          </w:p>
          <w:p w:rsidR="00E70E52" w:rsidRPr="001A65F5" w:rsidRDefault="00E70E52">
            <w:pPr>
              <w:pStyle w:val="Default"/>
              <w:rPr>
                <w:rFonts w:asciiTheme="minorHAnsi" w:eastAsia="Calibri" w:hAnsiTheme="minorHAnsi" w:cstheme="minorHAnsi"/>
                <w:b/>
              </w:rPr>
            </w:pPr>
          </w:p>
          <w:p w:rsidR="00F229EF" w:rsidRPr="001A65F5" w:rsidRDefault="00E52843">
            <w:pPr>
              <w:pStyle w:val="Default"/>
              <w:rPr>
                <w:rFonts w:asciiTheme="minorHAnsi" w:eastAsia="Calibri" w:hAnsiTheme="minorHAnsi" w:cstheme="minorHAnsi"/>
              </w:rPr>
            </w:pPr>
            <w:r w:rsidRPr="001A65F5">
              <w:rPr>
                <w:rFonts w:asciiTheme="minorHAnsi" w:eastAsia="Calibri" w:hAnsiTheme="minorHAnsi" w:cstheme="minorHAnsi"/>
                <w:b/>
              </w:rPr>
              <w:t>Reading</w:t>
            </w:r>
            <w:r w:rsidRPr="001A65F5">
              <w:rPr>
                <w:rFonts w:asciiTheme="minorHAnsi" w:eastAsia="Calibri" w:hAnsiTheme="minorHAnsi" w:cstheme="minorHAnsi"/>
              </w:rPr>
              <w:t xml:space="preserve"> School Disadvan</w:t>
            </w:r>
            <w:r w:rsidR="00F229EF" w:rsidRPr="001A65F5">
              <w:rPr>
                <w:rFonts w:asciiTheme="minorHAnsi" w:eastAsia="Calibri" w:hAnsiTheme="minorHAnsi" w:cstheme="minorHAnsi"/>
              </w:rPr>
              <w:t>taged vs National 'Other' (Not d</w:t>
            </w:r>
            <w:r w:rsidRPr="001A65F5">
              <w:rPr>
                <w:rFonts w:asciiTheme="minorHAnsi" w:eastAsia="Calibri" w:hAnsiTheme="minorHAnsi" w:cstheme="minorHAnsi"/>
              </w:rPr>
              <w:t>isadvantaged)</w:t>
            </w:r>
          </w:p>
          <w:p w:rsidR="00E70E52" w:rsidRPr="001A65F5" w:rsidRDefault="00F229EF">
            <w:pPr>
              <w:pStyle w:val="Default"/>
              <w:rPr>
                <w:rFonts w:asciiTheme="minorHAnsi" w:eastAsia="Calibri" w:hAnsiTheme="minorHAnsi" w:cstheme="minorHAnsi"/>
              </w:rPr>
            </w:pPr>
            <w:r w:rsidRPr="001A65F5">
              <w:rPr>
                <w:rFonts w:asciiTheme="minorHAnsi" w:eastAsia="Calibri" w:hAnsiTheme="minorHAnsi" w:cstheme="minorHAnsi"/>
              </w:rPr>
              <w:t xml:space="preserve">87%  of  disadvantaged  pupils  achieved  the  expected  standard  compared  to 77% of  'Other'  pupils  Nationally.  Therefore, there is </w:t>
            </w:r>
            <w:r w:rsidR="00C141DB">
              <w:rPr>
                <w:rFonts w:asciiTheme="minorHAnsi" w:eastAsia="Calibri" w:hAnsiTheme="minorHAnsi" w:cstheme="minorHAnsi"/>
              </w:rPr>
              <w:t xml:space="preserve">an </w:t>
            </w:r>
            <w:proofErr w:type="gramStart"/>
            <w:r w:rsidRPr="001A65F5">
              <w:rPr>
                <w:rFonts w:asciiTheme="minorHAnsi" w:eastAsia="Calibri" w:hAnsiTheme="minorHAnsi" w:cstheme="minorHAnsi"/>
              </w:rPr>
              <w:t>achieve</w:t>
            </w:r>
            <w:r w:rsidR="00C141DB">
              <w:rPr>
                <w:rFonts w:asciiTheme="minorHAnsi" w:eastAsia="Calibri" w:hAnsiTheme="minorHAnsi" w:cstheme="minorHAnsi"/>
              </w:rPr>
              <w:t>ment  gap</w:t>
            </w:r>
            <w:proofErr w:type="gramEnd"/>
            <w:r w:rsidR="00C141DB">
              <w:rPr>
                <w:rFonts w:asciiTheme="minorHAnsi" w:eastAsia="Calibri" w:hAnsiTheme="minorHAnsi" w:cstheme="minorHAnsi"/>
              </w:rPr>
              <w:t xml:space="preserve">  of  10%. </w:t>
            </w:r>
            <w:proofErr w:type="gramStart"/>
            <w:r w:rsidRPr="001A65F5">
              <w:rPr>
                <w:rFonts w:asciiTheme="minorHAnsi" w:eastAsia="Calibri" w:hAnsiTheme="minorHAnsi" w:cstheme="minorHAnsi"/>
              </w:rPr>
              <w:t>National  disadvantaged</w:t>
            </w:r>
            <w:proofErr w:type="gramEnd"/>
            <w:r w:rsidRPr="001A65F5">
              <w:rPr>
                <w:rFonts w:asciiTheme="minorHAnsi" w:eastAsia="Calibri" w:hAnsiTheme="minorHAnsi" w:cstheme="minorHAnsi"/>
              </w:rPr>
              <w:t xml:space="preserve">  is  60%. The  performance  of  Disadvantaged  pupils  in  school  is  better  than  'Other'  pupils  Nationally.</w:t>
            </w:r>
            <w:r w:rsidR="00E52843" w:rsidRPr="001A65F5">
              <w:rPr>
                <w:rFonts w:asciiTheme="minorHAnsi" w:eastAsia="Calibri" w:hAnsiTheme="minorHAnsi" w:cstheme="minorHAnsi"/>
              </w:rPr>
              <w:t>.</w:t>
            </w:r>
          </w:p>
          <w:p w:rsidR="00E70E52" w:rsidRPr="001A65F5" w:rsidRDefault="00E70E52">
            <w:pPr>
              <w:pStyle w:val="Default"/>
              <w:rPr>
                <w:rFonts w:asciiTheme="minorHAnsi" w:eastAsia="Calibri" w:hAnsiTheme="minorHAnsi" w:cstheme="minorHAnsi"/>
                <w:b/>
              </w:rPr>
            </w:pPr>
          </w:p>
          <w:p w:rsidR="00E70E52" w:rsidRPr="001A65F5" w:rsidRDefault="00E52843">
            <w:pPr>
              <w:pStyle w:val="Default"/>
              <w:rPr>
                <w:rFonts w:asciiTheme="minorHAnsi" w:eastAsia="Calibri" w:hAnsiTheme="minorHAnsi" w:cstheme="minorHAnsi"/>
              </w:rPr>
            </w:pPr>
            <w:r w:rsidRPr="001A65F5">
              <w:rPr>
                <w:rFonts w:asciiTheme="minorHAnsi" w:eastAsia="Calibri" w:hAnsiTheme="minorHAnsi" w:cstheme="minorHAnsi"/>
                <w:b/>
              </w:rPr>
              <w:t xml:space="preserve">Writing </w:t>
            </w:r>
            <w:r w:rsidRPr="001A65F5">
              <w:rPr>
                <w:rFonts w:asciiTheme="minorHAnsi" w:eastAsia="Calibri" w:hAnsiTheme="minorHAnsi" w:cstheme="minorHAnsi"/>
              </w:rPr>
              <w:t>School Disadvan</w:t>
            </w:r>
            <w:r w:rsidR="00F229EF" w:rsidRPr="001A65F5">
              <w:rPr>
                <w:rFonts w:asciiTheme="minorHAnsi" w:eastAsia="Calibri" w:hAnsiTheme="minorHAnsi" w:cstheme="minorHAnsi"/>
              </w:rPr>
              <w:t>taged vs National 'Other' (Not d</w:t>
            </w:r>
            <w:r w:rsidRPr="001A65F5">
              <w:rPr>
                <w:rFonts w:asciiTheme="minorHAnsi" w:eastAsia="Calibri" w:hAnsiTheme="minorHAnsi" w:cstheme="minorHAnsi"/>
              </w:rPr>
              <w:t>isadvantaged)</w:t>
            </w:r>
          </w:p>
          <w:p w:rsidR="00E70E52" w:rsidRPr="001A65F5" w:rsidRDefault="00F229EF">
            <w:pPr>
              <w:pStyle w:val="Default"/>
              <w:rPr>
                <w:rFonts w:asciiTheme="minorHAnsi" w:eastAsia="Calibri" w:hAnsiTheme="minorHAnsi" w:cstheme="minorHAnsi"/>
              </w:rPr>
            </w:pPr>
            <w:r w:rsidRPr="001A65F5">
              <w:rPr>
                <w:rFonts w:asciiTheme="minorHAnsi" w:eastAsia="Calibri" w:hAnsiTheme="minorHAnsi" w:cstheme="minorHAnsi"/>
              </w:rPr>
              <w:t xml:space="preserve">73%  of  Disadvantaged  pupils  achieved  the  expected  standard  compared  to  81%  of  'Other'  pupils  Nationally.  Therefore, </w:t>
            </w:r>
            <w:proofErr w:type="gramStart"/>
            <w:r w:rsidRPr="001A65F5">
              <w:rPr>
                <w:rFonts w:asciiTheme="minorHAnsi" w:eastAsia="Calibri" w:hAnsiTheme="minorHAnsi" w:cstheme="minorHAnsi"/>
              </w:rPr>
              <w:t>there  is</w:t>
            </w:r>
            <w:proofErr w:type="gramEnd"/>
            <w:r w:rsidRPr="001A65F5">
              <w:rPr>
                <w:rFonts w:asciiTheme="minorHAnsi" w:eastAsia="Calibri" w:hAnsiTheme="minorHAnsi" w:cstheme="minorHAnsi"/>
              </w:rPr>
              <w:t xml:space="preserve">  an  achievement  gap  of  8%.  National disadvantaged </w:t>
            </w:r>
            <w:proofErr w:type="gramStart"/>
            <w:r w:rsidRPr="001A65F5">
              <w:rPr>
                <w:rFonts w:asciiTheme="minorHAnsi" w:eastAsia="Calibri" w:hAnsiTheme="minorHAnsi" w:cstheme="minorHAnsi"/>
              </w:rPr>
              <w:t>is  66</w:t>
            </w:r>
            <w:proofErr w:type="gramEnd"/>
            <w:r w:rsidRPr="001A65F5">
              <w:rPr>
                <w:rFonts w:asciiTheme="minorHAnsi" w:eastAsia="Calibri" w:hAnsiTheme="minorHAnsi" w:cstheme="minorHAnsi"/>
              </w:rPr>
              <w:t>%.  Disadvantaged  pupils  performance  is similar or  better  than  disadvantaged  pupils  nationally,  but  still  below  'Other'  pupils  nationally.</w:t>
            </w:r>
          </w:p>
          <w:p w:rsidR="00F229EF" w:rsidRPr="001A65F5" w:rsidRDefault="00F229EF">
            <w:pPr>
              <w:pStyle w:val="Default"/>
              <w:rPr>
                <w:rFonts w:asciiTheme="minorHAnsi" w:eastAsia="Calibri" w:hAnsiTheme="minorHAnsi" w:cstheme="minorHAnsi"/>
                <w:b/>
              </w:rPr>
            </w:pPr>
          </w:p>
          <w:p w:rsidR="00E70E52" w:rsidRPr="001A65F5" w:rsidRDefault="00E52843">
            <w:pPr>
              <w:pStyle w:val="Default"/>
              <w:rPr>
                <w:rFonts w:asciiTheme="minorHAnsi" w:eastAsia="Calibri" w:hAnsiTheme="minorHAnsi" w:cstheme="minorHAnsi"/>
              </w:rPr>
            </w:pPr>
            <w:r w:rsidRPr="001A65F5">
              <w:rPr>
                <w:rFonts w:asciiTheme="minorHAnsi" w:eastAsia="Calibri" w:hAnsiTheme="minorHAnsi" w:cstheme="minorHAnsi"/>
                <w:b/>
              </w:rPr>
              <w:t xml:space="preserve">Maths </w:t>
            </w:r>
            <w:r w:rsidRPr="001A65F5">
              <w:rPr>
                <w:rFonts w:asciiTheme="minorHAnsi" w:eastAsia="Calibri" w:hAnsiTheme="minorHAnsi" w:cstheme="minorHAnsi"/>
              </w:rPr>
              <w:t>School Disadvan</w:t>
            </w:r>
            <w:r w:rsidR="00F229EF" w:rsidRPr="001A65F5">
              <w:rPr>
                <w:rFonts w:asciiTheme="minorHAnsi" w:eastAsia="Calibri" w:hAnsiTheme="minorHAnsi" w:cstheme="minorHAnsi"/>
              </w:rPr>
              <w:t>taged vs National 'Other' (Not d</w:t>
            </w:r>
            <w:r w:rsidRPr="001A65F5">
              <w:rPr>
                <w:rFonts w:asciiTheme="minorHAnsi" w:eastAsia="Calibri" w:hAnsiTheme="minorHAnsi" w:cstheme="minorHAnsi"/>
              </w:rPr>
              <w:t>isadvantaged)</w:t>
            </w:r>
          </w:p>
          <w:p w:rsidR="00F229EF" w:rsidRPr="001A65F5" w:rsidRDefault="00F229EF">
            <w:pPr>
              <w:pStyle w:val="Default"/>
              <w:rPr>
                <w:rFonts w:asciiTheme="minorHAnsi" w:eastAsia="Calibri" w:hAnsiTheme="minorHAnsi" w:cstheme="minorHAnsi"/>
              </w:rPr>
            </w:pPr>
            <w:r w:rsidRPr="001A65F5">
              <w:rPr>
                <w:rFonts w:asciiTheme="minorHAnsi" w:eastAsia="Calibri" w:hAnsiTheme="minorHAnsi" w:cstheme="minorHAnsi"/>
              </w:rPr>
              <w:t>80%  of  disadvantaged  pupils  achieved  the  expected  standard  compared  to  80%  of  'Other'  pupils  nationally.  Therefore, there is no achievement gap.</w:t>
            </w:r>
          </w:p>
          <w:p w:rsidR="00E70E52" w:rsidRPr="001A65F5" w:rsidRDefault="00F229EF">
            <w:pPr>
              <w:pStyle w:val="Default"/>
              <w:rPr>
                <w:rFonts w:asciiTheme="minorHAnsi" w:eastAsia="Calibri" w:hAnsiTheme="minorHAnsi" w:cstheme="minorHAnsi"/>
              </w:rPr>
            </w:pPr>
            <w:r w:rsidRPr="001A65F5">
              <w:rPr>
                <w:rFonts w:asciiTheme="minorHAnsi" w:eastAsia="Calibri" w:hAnsiTheme="minorHAnsi" w:cstheme="minorHAnsi"/>
              </w:rPr>
              <w:t xml:space="preserve">National disadvantaged is 63%. The performance of </w:t>
            </w:r>
            <w:proofErr w:type="gramStart"/>
            <w:r w:rsidRPr="001A65F5">
              <w:rPr>
                <w:rFonts w:asciiTheme="minorHAnsi" w:eastAsia="Calibri" w:hAnsiTheme="minorHAnsi" w:cstheme="minorHAnsi"/>
              </w:rPr>
              <w:t>disadvantaged  pupils</w:t>
            </w:r>
            <w:proofErr w:type="gramEnd"/>
            <w:r w:rsidRPr="001A65F5">
              <w:rPr>
                <w:rFonts w:asciiTheme="minorHAnsi" w:eastAsia="Calibri" w:hAnsiTheme="minorHAnsi" w:cstheme="minorHAnsi"/>
              </w:rPr>
              <w:t xml:space="preserve">  in  school  is  similar to 'Other'  pupils nationally.  </w:t>
            </w:r>
          </w:p>
          <w:p w:rsidR="001A65F5" w:rsidRPr="001A65F5" w:rsidRDefault="001A65F5">
            <w:pPr>
              <w:pStyle w:val="Default"/>
              <w:rPr>
                <w:rFonts w:asciiTheme="minorHAnsi" w:eastAsia="Calibri" w:hAnsiTheme="minorHAnsi" w:cstheme="minorHAnsi"/>
              </w:rPr>
            </w:pPr>
          </w:p>
          <w:p w:rsidR="00E70E52" w:rsidRPr="001A65F5" w:rsidRDefault="00E52843" w:rsidP="00584248">
            <w:pPr>
              <w:pStyle w:val="Default"/>
              <w:rPr>
                <w:rFonts w:asciiTheme="minorHAnsi" w:eastAsia="Calibri" w:hAnsiTheme="minorHAnsi" w:cstheme="minorHAnsi"/>
              </w:rPr>
            </w:pPr>
            <w:r w:rsidRPr="001A65F5">
              <w:rPr>
                <w:rFonts w:asciiTheme="minorHAnsi" w:eastAsia="Calibri" w:hAnsiTheme="minorHAnsi" w:cstheme="minorHAnsi"/>
                <w:b/>
              </w:rPr>
              <w:t>Spelling, Punctuation and Grammar</w:t>
            </w:r>
            <w:r w:rsidRPr="001A65F5">
              <w:rPr>
                <w:rFonts w:asciiTheme="minorHAnsi" w:eastAsia="Calibri" w:hAnsiTheme="minorHAnsi" w:cstheme="minorHAnsi"/>
              </w:rPr>
              <w:t xml:space="preserve"> School Disadvan</w:t>
            </w:r>
            <w:r w:rsidR="001A65F5" w:rsidRPr="001A65F5">
              <w:rPr>
                <w:rFonts w:asciiTheme="minorHAnsi" w:eastAsia="Calibri" w:hAnsiTheme="minorHAnsi" w:cstheme="minorHAnsi"/>
              </w:rPr>
              <w:t>taged vs National 'Other' (Not d</w:t>
            </w:r>
            <w:r w:rsidRPr="001A65F5">
              <w:rPr>
                <w:rFonts w:asciiTheme="minorHAnsi" w:eastAsia="Calibri" w:hAnsiTheme="minorHAnsi" w:cstheme="minorHAnsi"/>
              </w:rPr>
              <w:t>isadvantaged)</w:t>
            </w:r>
          </w:p>
          <w:p w:rsidR="001A65F5" w:rsidRPr="001A65F5" w:rsidRDefault="001A65F5" w:rsidP="00584248">
            <w:pPr>
              <w:pStyle w:val="Default"/>
              <w:rPr>
                <w:rFonts w:asciiTheme="minorHAnsi" w:eastAsia="Calibri" w:hAnsiTheme="minorHAnsi" w:cstheme="minorHAnsi"/>
              </w:rPr>
            </w:pPr>
            <w:r w:rsidRPr="001A65F5">
              <w:rPr>
                <w:rFonts w:asciiTheme="minorHAnsi" w:eastAsia="Calibri" w:hAnsiTheme="minorHAnsi" w:cstheme="minorHAnsi"/>
              </w:rPr>
              <w:t xml:space="preserve">80%  of  disadvantaged  pupils  achieved  the  expected  standard  compared  to  82%  of  'Other'  pupils  Nationally.  Therefore, there </w:t>
            </w:r>
            <w:r>
              <w:rPr>
                <w:rFonts w:asciiTheme="minorHAnsi" w:eastAsia="Calibri" w:hAnsiTheme="minorHAnsi" w:cstheme="minorHAnsi"/>
              </w:rPr>
              <w:t xml:space="preserve">is </w:t>
            </w:r>
            <w:proofErr w:type="gramStart"/>
            <w:r w:rsidRPr="001A65F5">
              <w:rPr>
                <w:rFonts w:asciiTheme="minorHAnsi" w:eastAsia="Calibri" w:hAnsiTheme="minorHAnsi" w:cstheme="minorHAnsi"/>
              </w:rPr>
              <w:t>an  achievement</w:t>
            </w:r>
            <w:proofErr w:type="gramEnd"/>
            <w:r w:rsidRPr="001A65F5">
              <w:rPr>
                <w:rFonts w:asciiTheme="minorHAnsi" w:eastAsia="Calibri" w:hAnsiTheme="minorHAnsi" w:cstheme="minorHAnsi"/>
              </w:rPr>
              <w:t xml:space="preserve">  gap  of  2%.  National disadvantaged </w:t>
            </w:r>
            <w:proofErr w:type="gramStart"/>
            <w:r w:rsidRPr="001A65F5">
              <w:rPr>
                <w:rFonts w:asciiTheme="minorHAnsi" w:eastAsia="Calibri" w:hAnsiTheme="minorHAnsi" w:cstheme="minorHAnsi"/>
              </w:rPr>
              <w:t>is  66</w:t>
            </w:r>
            <w:proofErr w:type="gramEnd"/>
            <w:r w:rsidRPr="001A65F5">
              <w:rPr>
                <w:rFonts w:asciiTheme="minorHAnsi" w:eastAsia="Calibri" w:hAnsiTheme="minorHAnsi" w:cstheme="minorHAnsi"/>
              </w:rPr>
              <w:t xml:space="preserve">%.  The  performance  of  disadvantaged  pupils  in  school is better  than disadvantaged pupils nationally but still below  'Other'  pupils  Nationally.  </w:t>
            </w:r>
          </w:p>
          <w:p w:rsidR="00E70E52" w:rsidRPr="001A65F5" w:rsidRDefault="00E70E52">
            <w:pPr>
              <w:pStyle w:val="Default"/>
              <w:rPr>
                <w:rFonts w:asciiTheme="minorHAnsi" w:eastAsia="Calibri" w:hAnsiTheme="minorHAnsi" w:cstheme="minorHAnsi"/>
              </w:rPr>
            </w:pPr>
          </w:p>
        </w:tc>
      </w:tr>
    </w:tbl>
    <w:p w:rsidR="00E70E52" w:rsidRPr="001A65F5" w:rsidRDefault="00E70E52">
      <w:pPr>
        <w:rPr>
          <w:rFonts w:asciiTheme="minorHAnsi" w:hAnsiTheme="minorHAnsi" w:cstheme="minorHAnsi"/>
        </w:rPr>
      </w:pPr>
    </w:p>
    <w:tbl>
      <w:tblPr>
        <w:tblStyle w:val="TableGrid"/>
        <w:tblW w:w="0" w:type="auto"/>
        <w:tblInd w:w="-601" w:type="dxa"/>
        <w:tblLook w:val="04A0" w:firstRow="1" w:lastRow="0" w:firstColumn="1" w:lastColumn="0" w:noHBand="0" w:noVBand="1"/>
      </w:tblPr>
      <w:tblGrid>
        <w:gridCol w:w="2861"/>
        <w:gridCol w:w="2627"/>
        <w:gridCol w:w="2453"/>
        <w:gridCol w:w="2549"/>
      </w:tblGrid>
      <w:tr w:rsidR="002920CB" w:rsidTr="0052547F">
        <w:trPr>
          <w:trHeight w:val="289"/>
        </w:trPr>
        <w:tc>
          <w:tcPr>
            <w:tcW w:w="2861" w:type="dxa"/>
          </w:tcPr>
          <w:p w:rsidR="002920CB" w:rsidRDefault="002920CB">
            <w:pPr>
              <w:rPr>
                <w:rFonts w:asciiTheme="minorHAnsi" w:hAnsiTheme="minorHAnsi" w:cstheme="minorHAnsi"/>
              </w:rPr>
            </w:pPr>
          </w:p>
        </w:tc>
        <w:tc>
          <w:tcPr>
            <w:tcW w:w="2627" w:type="dxa"/>
          </w:tcPr>
          <w:p w:rsidR="002920CB" w:rsidRDefault="002920CB">
            <w:pPr>
              <w:rPr>
                <w:rFonts w:asciiTheme="minorHAnsi" w:hAnsiTheme="minorHAnsi" w:cstheme="minorHAnsi"/>
              </w:rPr>
            </w:pPr>
            <w:r>
              <w:rPr>
                <w:rFonts w:asciiTheme="minorHAnsi" w:hAnsiTheme="minorHAnsi" w:cstheme="minorHAnsi"/>
              </w:rPr>
              <w:t>2016-17 gap disadvantaged against national ‘Other’</w:t>
            </w:r>
          </w:p>
        </w:tc>
        <w:tc>
          <w:tcPr>
            <w:tcW w:w="2453" w:type="dxa"/>
          </w:tcPr>
          <w:p w:rsidR="002920CB" w:rsidRDefault="002920CB">
            <w:pPr>
              <w:rPr>
                <w:rFonts w:asciiTheme="minorHAnsi" w:hAnsiTheme="minorHAnsi" w:cstheme="minorHAnsi"/>
              </w:rPr>
            </w:pPr>
            <w:r>
              <w:rPr>
                <w:rFonts w:asciiTheme="minorHAnsi" w:hAnsiTheme="minorHAnsi" w:cstheme="minorHAnsi"/>
              </w:rPr>
              <w:t>2017 -18 gap disadvantaged against national ‘Other’</w:t>
            </w:r>
          </w:p>
        </w:tc>
        <w:tc>
          <w:tcPr>
            <w:tcW w:w="2549" w:type="dxa"/>
          </w:tcPr>
          <w:p w:rsidR="002920CB" w:rsidRDefault="002920CB">
            <w:pPr>
              <w:rPr>
                <w:rFonts w:asciiTheme="minorHAnsi" w:hAnsiTheme="minorHAnsi" w:cstheme="minorHAnsi"/>
              </w:rPr>
            </w:pPr>
            <w:r>
              <w:rPr>
                <w:rFonts w:asciiTheme="minorHAnsi" w:hAnsiTheme="minorHAnsi" w:cstheme="minorHAnsi"/>
              </w:rPr>
              <w:t>Additional information</w:t>
            </w:r>
          </w:p>
        </w:tc>
      </w:tr>
      <w:tr w:rsidR="002920CB" w:rsidTr="0052547F">
        <w:trPr>
          <w:trHeight w:val="289"/>
        </w:trPr>
        <w:tc>
          <w:tcPr>
            <w:tcW w:w="2861" w:type="dxa"/>
          </w:tcPr>
          <w:p w:rsidR="002920CB" w:rsidRDefault="002920CB">
            <w:pPr>
              <w:rPr>
                <w:rFonts w:asciiTheme="minorHAnsi" w:hAnsiTheme="minorHAnsi" w:cstheme="minorHAnsi"/>
              </w:rPr>
            </w:pPr>
            <w:r>
              <w:rPr>
                <w:rFonts w:asciiTheme="minorHAnsi" w:hAnsiTheme="minorHAnsi" w:cstheme="minorHAnsi"/>
              </w:rPr>
              <w:t>EYFS (GKD)</w:t>
            </w:r>
          </w:p>
        </w:tc>
        <w:tc>
          <w:tcPr>
            <w:tcW w:w="2627" w:type="dxa"/>
          </w:tcPr>
          <w:p w:rsidR="002920CB" w:rsidRDefault="002920CB" w:rsidP="00584248">
            <w:pPr>
              <w:jc w:val="center"/>
              <w:rPr>
                <w:rFonts w:asciiTheme="minorHAnsi" w:hAnsiTheme="minorHAnsi" w:cstheme="minorHAnsi"/>
              </w:rPr>
            </w:pPr>
            <w:r>
              <w:rPr>
                <w:rFonts w:asciiTheme="minorHAnsi" w:hAnsiTheme="minorHAnsi" w:cstheme="minorHAnsi"/>
              </w:rPr>
              <w:t xml:space="preserve">14% </w:t>
            </w:r>
          </w:p>
        </w:tc>
        <w:tc>
          <w:tcPr>
            <w:tcW w:w="2453" w:type="dxa"/>
          </w:tcPr>
          <w:p w:rsidR="002920CB" w:rsidRDefault="002920CB" w:rsidP="00584248">
            <w:pPr>
              <w:jc w:val="center"/>
              <w:rPr>
                <w:rFonts w:asciiTheme="minorHAnsi" w:hAnsiTheme="minorHAnsi" w:cstheme="minorHAnsi"/>
              </w:rPr>
            </w:pPr>
            <w:r>
              <w:rPr>
                <w:rFonts w:asciiTheme="minorHAnsi" w:hAnsiTheme="minorHAnsi" w:cstheme="minorHAnsi"/>
              </w:rPr>
              <w:t xml:space="preserve">13% </w:t>
            </w:r>
          </w:p>
        </w:tc>
        <w:tc>
          <w:tcPr>
            <w:tcW w:w="2549" w:type="dxa"/>
          </w:tcPr>
          <w:p w:rsidR="002920CB" w:rsidRDefault="00584248" w:rsidP="00D94B6B">
            <w:pPr>
              <w:jc w:val="center"/>
              <w:rPr>
                <w:rFonts w:asciiTheme="minorHAnsi" w:hAnsiTheme="minorHAnsi" w:cstheme="minorHAnsi"/>
              </w:rPr>
            </w:pPr>
            <w:r>
              <w:rPr>
                <w:rFonts w:asciiTheme="minorHAnsi" w:hAnsiTheme="minorHAnsi" w:cstheme="minorHAnsi"/>
              </w:rPr>
              <w:t xml:space="preserve">SEN pupils 11.8% increase </w:t>
            </w:r>
          </w:p>
        </w:tc>
      </w:tr>
      <w:tr w:rsidR="002920CB" w:rsidTr="0052547F">
        <w:trPr>
          <w:trHeight w:val="289"/>
        </w:trPr>
        <w:tc>
          <w:tcPr>
            <w:tcW w:w="2861" w:type="dxa"/>
          </w:tcPr>
          <w:p w:rsidR="002920CB" w:rsidRDefault="002920CB">
            <w:pPr>
              <w:rPr>
                <w:rFonts w:asciiTheme="minorHAnsi" w:hAnsiTheme="minorHAnsi" w:cstheme="minorHAnsi"/>
              </w:rPr>
            </w:pPr>
            <w:r>
              <w:rPr>
                <w:rFonts w:asciiTheme="minorHAnsi" w:hAnsiTheme="minorHAnsi" w:cstheme="minorHAnsi"/>
              </w:rPr>
              <w:t>Phonics screening</w:t>
            </w:r>
          </w:p>
        </w:tc>
        <w:tc>
          <w:tcPr>
            <w:tcW w:w="2627" w:type="dxa"/>
          </w:tcPr>
          <w:p w:rsidR="002920CB" w:rsidRDefault="002920CB" w:rsidP="00584248">
            <w:pPr>
              <w:jc w:val="center"/>
              <w:rPr>
                <w:rFonts w:asciiTheme="minorHAnsi" w:hAnsiTheme="minorHAnsi" w:cstheme="minorHAnsi"/>
              </w:rPr>
            </w:pPr>
            <w:r>
              <w:rPr>
                <w:rFonts w:asciiTheme="minorHAnsi" w:hAnsiTheme="minorHAnsi" w:cstheme="minorHAnsi"/>
              </w:rPr>
              <w:t xml:space="preserve">8% </w:t>
            </w:r>
          </w:p>
        </w:tc>
        <w:tc>
          <w:tcPr>
            <w:tcW w:w="2453" w:type="dxa"/>
          </w:tcPr>
          <w:p w:rsidR="002920CB" w:rsidRDefault="002920CB" w:rsidP="00584248">
            <w:pPr>
              <w:jc w:val="center"/>
              <w:rPr>
                <w:rFonts w:asciiTheme="minorHAnsi" w:hAnsiTheme="minorHAnsi" w:cstheme="minorHAnsi"/>
              </w:rPr>
            </w:pPr>
            <w:r>
              <w:rPr>
                <w:rFonts w:asciiTheme="minorHAnsi" w:hAnsiTheme="minorHAnsi" w:cstheme="minorHAnsi"/>
              </w:rPr>
              <w:t>14%</w:t>
            </w:r>
            <w:r w:rsidR="00584248">
              <w:rPr>
                <w:rFonts w:asciiTheme="minorHAnsi" w:hAnsiTheme="minorHAnsi" w:cstheme="minorHAnsi"/>
              </w:rPr>
              <w:t xml:space="preserve"> </w:t>
            </w:r>
          </w:p>
        </w:tc>
        <w:tc>
          <w:tcPr>
            <w:tcW w:w="2549" w:type="dxa"/>
          </w:tcPr>
          <w:p w:rsidR="002920CB" w:rsidRDefault="00584248" w:rsidP="00D94B6B">
            <w:pPr>
              <w:jc w:val="center"/>
              <w:rPr>
                <w:rFonts w:asciiTheme="minorHAnsi" w:hAnsiTheme="minorHAnsi" w:cstheme="minorHAnsi"/>
              </w:rPr>
            </w:pPr>
            <w:r>
              <w:rPr>
                <w:rFonts w:asciiTheme="minorHAnsi" w:hAnsiTheme="minorHAnsi" w:cstheme="minorHAnsi"/>
              </w:rPr>
              <w:t>SEN pupils 5.1% increase</w:t>
            </w:r>
          </w:p>
        </w:tc>
      </w:tr>
      <w:tr w:rsidR="00584248" w:rsidTr="0052547F">
        <w:trPr>
          <w:trHeight w:val="301"/>
        </w:trPr>
        <w:tc>
          <w:tcPr>
            <w:tcW w:w="2861" w:type="dxa"/>
          </w:tcPr>
          <w:p w:rsidR="00584248" w:rsidRDefault="00584248">
            <w:pPr>
              <w:rPr>
                <w:rFonts w:asciiTheme="minorHAnsi" w:hAnsiTheme="minorHAnsi" w:cstheme="minorHAnsi"/>
              </w:rPr>
            </w:pPr>
            <w:r>
              <w:rPr>
                <w:rFonts w:asciiTheme="minorHAnsi" w:hAnsiTheme="minorHAnsi" w:cstheme="minorHAnsi"/>
              </w:rPr>
              <w:t>KS1 Reading</w:t>
            </w:r>
          </w:p>
        </w:tc>
        <w:tc>
          <w:tcPr>
            <w:tcW w:w="2627" w:type="dxa"/>
          </w:tcPr>
          <w:p w:rsidR="00584248" w:rsidRDefault="00584248" w:rsidP="00584248">
            <w:pPr>
              <w:jc w:val="center"/>
              <w:rPr>
                <w:rFonts w:asciiTheme="minorHAnsi" w:hAnsiTheme="minorHAnsi" w:cstheme="minorHAnsi"/>
              </w:rPr>
            </w:pPr>
            <w:r>
              <w:rPr>
                <w:rFonts w:asciiTheme="minorHAnsi" w:hAnsiTheme="minorHAnsi" w:cstheme="minorHAnsi"/>
              </w:rPr>
              <w:t xml:space="preserve">6% </w:t>
            </w:r>
          </w:p>
        </w:tc>
        <w:tc>
          <w:tcPr>
            <w:tcW w:w="2453" w:type="dxa"/>
          </w:tcPr>
          <w:p w:rsidR="00584248" w:rsidRDefault="00584248" w:rsidP="00584248">
            <w:pPr>
              <w:jc w:val="center"/>
              <w:rPr>
                <w:rFonts w:asciiTheme="minorHAnsi" w:hAnsiTheme="minorHAnsi" w:cstheme="minorHAnsi"/>
              </w:rPr>
            </w:pPr>
            <w:r>
              <w:rPr>
                <w:rFonts w:asciiTheme="minorHAnsi" w:hAnsiTheme="minorHAnsi" w:cstheme="minorHAnsi"/>
              </w:rPr>
              <w:t xml:space="preserve">15% </w:t>
            </w:r>
          </w:p>
        </w:tc>
        <w:tc>
          <w:tcPr>
            <w:tcW w:w="2549" w:type="dxa"/>
            <w:vMerge w:val="restart"/>
          </w:tcPr>
          <w:p w:rsidR="00584248" w:rsidRDefault="00584248" w:rsidP="00D94B6B">
            <w:pPr>
              <w:jc w:val="center"/>
              <w:rPr>
                <w:rFonts w:asciiTheme="minorHAnsi" w:hAnsiTheme="minorHAnsi" w:cstheme="minorHAnsi"/>
              </w:rPr>
            </w:pPr>
            <w:r>
              <w:rPr>
                <w:rFonts w:asciiTheme="minorHAnsi" w:hAnsiTheme="minorHAnsi" w:cstheme="minorHAnsi"/>
              </w:rPr>
              <w:t>SEN pupils 7.2% increase</w:t>
            </w:r>
          </w:p>
        </w:tc>
      </w:tr>
      <w:tr w:rsidR="00584248" w:rsidTr="0052547F">
        <w:trPr>
          <w:trHeight w:val="289"/>
        </w:trPr>
        <w:tc>
          <w:tcPr>
            <w:tcW w:w="2861" w:type="dxa"/>
          </w:tcPr>
          <w:p w:rsidR="00584248" w:rsidRDefault="00584248">
            <w:pPr>
              <w:rPr>
                <w:rFonts w:asciiTheme="minorHAnsi" w:hAnsiTheme="minorHAnsi" w:cstheme="minorHAnsi"/>
              </w:rPr>
            </w:pPr>
            <w:r>
              <w:rPr>
                <w:rFonts w:asciiTheme="minorHAnsi" w:hAnsiTheme="minorHAnsi" w:cstheme="minorHAnsi"/>
              </w:rPr>
              <w:t>KS1 Writing</w:t>
            </w:r>
          </w:p>
        </w:tc>
        <w:tc>
          <w:tcPr>
            <w:tcW w:w="2627" w:type="dxa"/>
          </w:tcPr>
          <w:p w:rsidR="00584248" w:rsidRDefault="00584248" w:rsidP="00584248">
            <w:pPr>
              <w:jc w:val="center"/>
              <w:rPr>
                <w:rFonts w:asciiTheme="minorHAnsi" w:hAnsiTheme="minorHAnsi" w:cstheme="minorHAnsi"/>
              </w:rPr>
            </w:pPr>
            <w:r>
              <w:rPr>
                <w:rFonts w:asciiTheme="minorHAnsi" w:hAnsiTheme="minorHAnsi" w:cstheme="minorHAnsi"/>
              </w:rPr>
              <w:t xml:space="preserve">11% </w:t>
            </w:r>
          </w:p>
        </w:tc>
        <w:tc>
          <w:tcPr>
            <w:tcW w:w="2453" w:type="dxa"/>
          </w:tcPr>
          <w:p w:rsidR="00584248" w:rsidRDefault="00584248" w:rsidP="00584248">
            <w:pPr>
              <w:jc w:val="center"/>
              <w:rPr>
                <w:rFonts w:asciiTheme="minorHAnsi" w:hAnsiTheme="minorHAnsi" w:cstheme="minorHAnsi"/>
              </w:rPr>
            </w:pPr>
            <w:r>
              <w:rPr>
                <w:rFonts w:asciiTheme="minorHAnsi" w:hAnsiTheme="minorHAnsi" w:cstheme="minorHAnsi"/>
              </w:rPr>
              <w:t xml:space="preserve">Above  national other 1 % </w:t>
            </w:r>
          </w:p>
        </w:tc>
        <w:tc>
          <w:tcPr>
            <w:tcW w:w="2549" w:type="dxa"/>
            <w:vMerge/>
          </w:tcPr>
          <w:p w:rsidR="00584248" w:rsidRDefault="00584248" w:rsidP="00D94B6B">
            <w:pPr>
              <w:jc w:val="center"/>
              <w:rPr>
                <w:rFonts w:asciiTheme="minorHAnsi" w:hAnsiTheme="minorHAnsi" w:cstheme="minorHAnsi"/>
              </w:rPr>
            </w:pPr>
          </w:p>
        </w:tc>
      </w:tr>
      <w:tr w:rsidR="00584248" w:rsidTr="0052547F">
        <w:trPr>
          <w:trHeight w:val="289"/>
        </w:trPr>
        <w:tc>
          <w:tcPr>
            <w:tcW w:w="2861" w:type="dxa"/>
          </w:tcPr>
          <w:p w:rsidR="00584248" w:rsidRDefault="00584248">
            <w:pPr>
              <w:rPr>
                <w:rFonts w:asciiTheme="minorHAnsi" w:hAnsiTheme="minorHAnsi" w:cstheme="minorHAnsi"/>
              </w:rPr>
            </w:pPr>
            <w:r>
              <w:rPr>
                <w:rFonts w:asciiTheme="minorHAnsi" w:hAnsiTheme="minorHAnsi" w:cstheme="minorHAnsi"/>
              </w:rPr>
              <w:t xml:space="preserve">KS1 </w:t>
            </w:r>
            <w:proofErr w:type="spellStart"/>
            <w:r>
              <w:rPr>
                <w:rFonts w:asciiTheme="minorHAnsi" w:hAnsiTheme="minorHAnsi" w:cstheme="minorHAnsi"/>
              </w:rPr>
              <w:t>Maths</w:t>
            </w:r>
            <w:proofErr w:type="spellEnd"/>
          </w:p>
        </w:tc>
        <w:tc>
          <w:tcPr>
            <w:tcW w:w="2627" w:type="dxa"/>
          </w:tcPr>
          <w:p w:rsidR="00584248" w:rsidRDefault="00584248" w:rsidP="00584248">
            <w:pPr>
              <w:jc w:val="center"/>
              <w:rPr>
                <w:rFonts w:asciiTheme="minorHAnsi" w:hAnsiTheme="minorHAnsi" w:cstheme="minorHAnsi"/>
              </w:rPr>
            </w:pPr>
            <w:r>
              <w:rPr>
                <w:rFonts w:asciiTheme="minorHAnsi" w:hAnsiTheme="minorHAnsi" w:cstheme="minorHAnsi"/>
              </w:rPr>
              <w:t xml:space="preserve">4% </w:t>
            </w:r>
          </w:p>
        </w:tc>
        <w:tc>
          <w:tcPr>
            <w:tcW w:w="2453" w:type="dxa"/>
          </w:tcPr>
          <w:p w:rsidR="00584248" w:rsidRDefault="00584248" w:rsidP="00584248">
            <w:pPr>
              <w:jc w:val="center"/>
              <w:rPr>
                <w:rFonts w:asciiTheme="minorHAnsi" w:hAnsiTheme="minorHAnsi" w:cstheme="minorHAnsi"/>
              </w:rPr>
            </w:pPr>
            <w:r>
              <w:rPr>
                <w:rFonts w:asciiTheme="minorHAnsi" w:hAnsiTheme="minorHAnsi" w:cstheme="minorHAnsi"/>
              </w:rPr>
              <w:t xml:space="preserve">6% </w:t>
            </w:r>
          </w:p>
        </w:tc>
        <w:tc>
          <w:tcPr>
            <w:tcW w:w="2549" w:type="dxa"/>
            <w:vMerge/>
          </w:tcPr>
          <w:p w:rsidR="00584248" w:rsidRDefault="00584248" w:rsidP="00D94B6B">
            <w:pPr>
              <w:jc w:val="center"/>
              <w:rPr>
                <w:rFonts w:asciiTheme="minorHAnsi" w:hAnsiTheme="minorHAnsi" w:cstheme="minorHAnsi"/>
              </w:rPr>
            </w:pPr>
          </w:p>
        </w:tc>
      </w:tr>
      <w:tr w:rsidR="00584248" w:rsidTr="0052547F">
        <w:trPr>
          <w:trHeight w:val="289"/>
        </w:trPr>
        <w:tc>
          <w:tcPr>
            <w:tcW w:w="2861" w:type="dxa"/>
          </w:tcPr>
          <w:p w:rsidR="00584248" w:rsidRDefault="00584248">
            <w:pPr>
              <w:rPr>
                <w:rFonts w:asciiTheme="minorHAnsi" w:hAnsiTheme="minorHAnsi" w:cstheme="minorHAnsi"/>
              </w:rPr>
            </w:pPr>
            <w:r>
              <w:rPr>
                <w:rFonts w:asciiTheme="minorHAnsi" w:hAnsiTheme="minorHAnsi" w:cstheme="minorHAnsi"/>
              </w:rPr>
              <w:t>KS2 RWM combined</w:t>
            </w:r>
          </w:p>
        </w:tc>
        <w:tc>
          <w:tcPr>
            <w:tcW w:w="2627" w:type="dxa"/>
          </w:tcPr>
          <w:p w:rsidR="00584248" w:rsidRDefault="00584248" w:rsidP="00584248">
            <w:pPr>
              <w:jc w:val="center"/>
              <w:rPr>
                <w:rFonts w:asciiTheme="minorHAnsi" w:hAnsiTheme="minorHAnsi" w:cstheme="minorHAnsi"/>
              </w:rPr>
            </w:pPr>
            <w:r>
              <w:rPr>
                <w:rFonts w:asciiTheme="minorHAnsi" w:hAnsiTheme="minorHAnsi" w:cstheme="minorHAnsi"/>
              </w:rPr>
              <w:t xml:space="preserve">19% </w:t>
            </w:r>
          </w:p>
        </w:tc>
        <w:tc>
          <w:tcPr>
            <w:tcW w:w="2453" w:type="dxa"/>
          </w:tcPr>
          <w:p w:rsidR="00584248" w:rsidRDefault="00584248" w:rsidP="00584248">
            <w:pPr>
              <w:jc w:val="center"/>
              <w:rPr>
                <w:rFonts w:asciiTheme="minorHAnsi" w:hAnsiTheme="minorHAnsi" w:cstheme="minorHAnsi"/>
              </w:rPr>
            </w:pPr>
            <w:r>
              <w:rPr>
                <w:rFonts w:asciiTheme="minorHAnsi" w:hAnsiTheme="minorHAnsi" w:cstheme="minorHAnsi"/>
              </w:rPr>
              <w:t xml:space="preserve">0% </w:t>
            </w:r>
          </w:p>
        </w:tc>
        <w:tc>
          <w:tcPr>
            <w:tcW w:w="2549" w:type="dxa"/>
            <w:vMerge w:val="restart"/>
          </w:tcPr>
          <w:p w:rsidR="00584248" w:rsidRDefault="00584248" w:rsidP="00D94B6B">
            <w:pPr>
              <w:jc w:val="center"/>
              <w:rPr>
                <w:rFonts w:asciiTheme="minorHAnsi" w:hAnsiTheme="minorHAnsi" w:cstheme="minorHAnsi"/>
              </w:rPr>
            </w:pPr>
            <w:r>
              <w:rPr>
                <w:rFonts w:asciiTheme="minorHAnsi" w:hAnsiTheme="minorHAnsi" w:cstheme="minorHAnsi"/>
              </w:rPr>
              <w:t>SEN pupils 3.1 % increase</w:t>
            </w:r>
          </w:p>
        </w:tc>
      </w:tr>
      <w:tr w:rsidR="00584248" w:rsidTr="0052547F">
        <w:trPr>
          <w:trHeight w:val="314"/>
        </w:trPr>
        <w:tc>
          <w:tcPr>
            <w:tcW w:w="2861" w:type="dxa"/>
          </w:tcPr>
          <w:p w:rsidR="00584248" w:rsidRDefault="00584248">
            <w:pPr>
              <w:rPr>
                <w:rFonts w:asciiTheme="minorHAnsi" w:hAnsiTheme="minorHAnsi" w:cstheme="minorHAnsi"/>
              </w:rPr>
            </w:pPr>
            <w:r>
              <w:rPr>
                <w:rFonts w:asciiTheme="minorHAnsi" w:hAnsiTheme="minorHAnsi" w:cstheme="minorHAnsi"/>
              </w:rPr>
              <w:t>KS2 Reading</w:t>
            </w:r>
          </w:p>
        </w:tc>
        <w:tc>
          <w:tcPr>
            <w:tcW w:w="2627" w:type="dxa"/>
          </w:tcPr>
          <w:p w:rsidR="00584248" w:rsidRDefault="00584248" w:rsidP="00584248">
            <w:pPr>
              <w:jc w:val="center"/>
              <w:rPr>
                <w:rFonts w:asciiTheme="minorHAnsi" w:hAnsiTheme="minorHAnsi" w:cstheme="minorHAnsi"/>
              </w:rPr>
            </w:pPr>
            <w:r>
              <w:rPr>
                <w:rFonts w:asciiTheme="minorHAnsi" w:hAnsiTheme="minorHAnsi" w:cstheme="minorHAnsi"/>
              </w:rPr>
              <w:t xml:space="preserve">19% </w:t>
            </w:r>
          </w:p>
        </w:tc>
        <w:tc>
          <w:tcPr>
            <w:tcW w:w="2453" w:type="dxa"/>
          </w:tcPr>
          <w:p w:rsidR="00584248" w:rsidRDefault="00584248" w:rsidP="00D94B6B">
            <w:pPr>
              <w:jc w:val="center"/>
              <w:rPr>
                <w:rFonts w:asciiTheme="minorHAnsi" w:hAnsiTheme="minorHAnsi" w:cstheme="minorHAnsi"/>
              </w:rPr>
            </w:pPr>
            <w:r>
              <w:rPr>
                <w:rFonts w:asciiTheme="minorHAnsi" w:hAnsiTheme="minorHAnsi" w:cstheme="minorHAnsi"/>
              </w:rPr>
              <w:t>Above national other 10%</w:t>
            </w:r>
          </w:p>
        </w:tc>
        <w:tc>
          <w:tcPr>
            <w:tcW w:w="2549" w:type="dxa"/>
            <w:vMerge/>
          </w:tcPr>
          <w:p w:rsidR="00584248" w:rsidRDefault="00584248" w:rsidP="00D94B6B">
            <w:pPr>
              <w:jc w:val="center"/>
              <w:rPr>
                <w:rFonts w:asciiTheme="minorHAnsi" w:hAnsiTheme="minorHAnsi" w:cstheme="minorHAnsi"/>
              </w:rPr>
            </w:pPr>
          </w:p>
        </w:tc>
      </w:tr>
      <w:tr w:rsidR="00584248" w:rsidTr="0052547F">
        <w:trPr>
          <w:trHeight w:val="314"/>
        </w:trPr>
        <w:tc>
          <w:tcPr>
            <w:tcW w:w="2861" w:type="dxa"/>
          </w:tcPr>
          <w:p w:rsidR="00584248" w:rsidRDefault="00584248" w:rsidP="008C767F">
            <w:pPr>
              <w:rPr>
                <w:rFonts w:asciiTheme="minorHAnsi" w:hAnsiTheme="minorHAnsi" w:cstheme="minorHAnsi"/>
              </w:rPr>
            </w:pPr>
            <w:r>
              <w:rPr>
                <w:rFonts w:asciiTheme="minorHAnsi" w:hAnsiTheme="minorHAnsi" w:cstheme="minorHAnsi"/>
              </w:rPr>
              <w:t>KS2 Writing</w:t>
            </w:r>
          </w:p>
        </w:tc>
        <w:tc>
          <w:tcPr>
            <w:tcW w:w="2627" w:type="dxa"/>
          </w:tcPr>
          <w:p w:rsidR="00584248" w:rsidRDefault="00584248" w:rsidP="00584248">
            <w:pPr>
              <w:jc w:val="center"/>
              <w:rPr>
                <w:rFonts w:asciiTheme="minorHAnsi" w:hAnsiTheme="minorHAnsi" w:cstheme="minorHAnsi"/>
              </w:rPr>
            </w:pPr>
            <w:r>
              <w:rPr>
                <w:rFonts w:asciiTheme="minorHAnsi" w:hAnsiTheme="minorHAnsi" w:cstheme="minorHAnsi"/>
              </w:rPr>
              <w:t xml:space="preserve">20% </w:t>
            </w:r>
          </w:p>
        </w:tc>
        <w:tc>
          <w:tcPr>
            <w:tcW w:w="2453" w:type="dxa"/>
          </w:tcPr>
          <w:p w:rsidR="00584248" w:rsidRDefault="00584248" w:rsidP="002920CB">
            <w:pPr>
              <w:jc w:val="center"/>
              <w:rPr>
                <w:rFonts w:asciiTheme="minorHAnsi" w:hAnsiTheme="minorHAnsi" w:cstheme="minorHAnsi"/>
              </w:rPr>
            </w:pPr>
            <w:r>
              <w:rPr>
                <w:rFonts w:asciiTheme="minorHAnsi" w:hAnsiTheme="minorHAnsi" w:cstheme="minorHAnsi"/>
              </w:rPr>
              <w:t xml:space="preserve">8%  </w:t>
            </w:r>
          </w:p>
        </w:tc>
        <w:tc>
          <w:tcPr>
            <w:tcW w:w="2549" w:type="dxa"/>
            <w:vMerge/>
          </w:tcPr>
          <w:p w:rsidR="00584248" w:rsidRDefault="00584248" w:rsidP="002920CB">
            <w:pPr>
              <w:jc w:val="center"/>
              <w:rPr>
                <w:rFonts w:asciiTheme="minorHAnsi" w:hAnsiTheme="minorHAnsi" w:cstheme="minorHAnsi"/>
              </w:rPr>
            </w:pPr>
          </w:p>
        </w:tc>
      </w:tr>
      <w:tr w:rsidR="00584248" w:rsidTr="0052547F">
        <w:trPr>
          <w:trHeight w:val="314"/>
        </w:trPr>
        <w:tc>
          <w:tcPr>
            <w:tcW w:w="2861" w:type="dxa"/>
          </w:tcPr>
          <w:p w:rsidR="00584248" w:rsidRDefault="00584248" w:rsidP="008C767F">
            <w:pPr>
              <w:rPr>
                <w:rFonts w:asciiTheme="minorHAnsi" w:hAnsiTheme="minorHAnsi" w:cstheme="minorHAnsi"/>
              </w:rPr>
            </w:pPr>
            <w:r>
              <w:rPr>
                <w:rFonts w:asciiTheme="minorHAnsi" w:hAnsiTheme="minorHAnsi" w:cstheme="minorHAnsi"/>
              </w:rPr>
              <w:t>KS2 SPAG</w:t>
            </w:r>
          </w:p>
        </w:tc>
        <w:tc>
          <w:tcPr>
            <w:tcW w:w="2627" w:type="dxa"/>
          </w:tcPr>
          <w:p w:rsidR="00584248" w:rsidRDefault="00584248" w:rsidP="004B6D89">
            <w:pPr>
              <w:jc w:val="center"/>
              <w:rPr>
                <w:rFonts w:asciiTheme="minorHAnsi" w:hAnsiTheme="minorHAnsi" w:cstheme="minorHAnsi"/>
              </w:rPr>
            </w:pPr>
            <w:r>
              <w:rPr>
                <w:rFonts w:asciiTheme="minorHAnsi" w:hAnsiTheme="minorHAnsi" w:cstheme="minorHAnsi"/>
              </w:rPr>
              <w:t>19%</w:t>
            </w:r>
          </w:p>
        </w:tc>
        <w:tc>
          <w:tcPr>
            <w:tcW w:w="2453" w:type="dxa"/>
          </w:tcPr>
          <w:p w:rsidR="00584248" w:rsidRDefault="00584248" w:rsidP="002920CB">
            <w:pPr>
              <w:jc w:val="center"/>
              <w:rPr>
                <w:rFonts w:asciiTheme="minorHAnsi" w:hAnsiTheme="minorHAnsi" w:cstheme="minorHAnsi"/>
              </w:rPr>
            </w:pPr>
            <w:r>
              <w:rPr>
                <w:rFonts w:asciiTheme="minorHAnsi" w:hAnsiTheme="minorHAnsi" w:cstheme="minorHAnsi"/>
              </w:rPr>
              <w:t xml:space="preserve">2% </w:t>
            </w:r>
          </w:p>
        </w:tc>
        <w:tc>
          <w:tcPr>
            <w:tcW w:w="2549" w:type="dxa"/>
            <w:vMerge/>
          </w:tcPr>
          <w:p w:rsidR="00584248" w:rsidRDefault="00584248" w:rsidP="002920CB">
            <w:pPr>
              <w:jc w:val="center"/>
              <w:rPr>
                <w:rFonts w:asciiTheme="minorHAnsi" w:hAnsiTheme="minorHAnsi" w:cstheme="minorHAnsi"/>
              </w:rPr>
            </w:pPr>
          </w:p>
        </w:tc>
      </w:tr>
      <w:tr w:rsidR="00584248" w:rsidTr="0052547F">
        <w:trPr>
          <w:trHeight w:val="314"/>
        </w:trPr>
        <w:tc>
          <w:tcPr>
            <w:tcW w:w="2861" w:type="dxa"/>
          </w:tcPr>
          <w:p w:rsidR="00584248" w:rsidRDefault="00584248" w:rsidP="008C767F">
            <w:pPr>
              <w:rPr>
                <w:rFonts w:asciiTheme="minorHAnsi" w:hAnsiTheme="minorHAnsi" w:cstheme="minorHAnsi"/>
              </w:rPr>
            </w:pPr>
            <w:r>
              <w:rPr>
                <w:rFonts w:asciiTheme="minorHAnsi" w:hAnsiTheme="minorHAnsi" w:cstheme="minorHAnsi"/>
              </w:rPr>
              <w:t xml:space="preserve">KS2 </w:t>
            </w:r>
            <w:proofErr w:type="spellStart"/>
            <w:r>
              <w:rPr>
                <w:rFonts w:asciiTheme="minorHAnsi" w:hAnsiTheme="minorHAnsi" w:cstheme="minorHAnsi"/>
              </w:rPr>
              <w:t>Maths</w:t>
            </w:r>
            <w:proofErr w:type="spellEnd"/>
          </w:p>
        </w:tc>
        <w:tc>
          <w:tcPr>
            <w:tcW w:w="2627" w:type="dxa"/>
          </w:tcPr>
          <w:p w:rsidR="00584248" w:rsidRDefault="00584248" w:rsidP="004B6D89">
            <w:pPr>
              <w:jc w:val="center"/>
              <w:rPr>
                <w:rFonts w:asciiTheme="minorHAnsi" w:hAnsiTheme="minorHAnsi" w:cstheme="minorHAnsi"/>
              </w:rPr>
            </w:pPr>
            <w:r>
              <w:rPr>
                <w:rFonts w:asciiTheme="minorHAnsi" w:hAnsiTheme="minorHAnsi" w:cstheme="minorHAnsi"/>
              </w:rPr>
              <w:t>5%</w:t>
            </w:r>
          </w:p>
        </w:tc>
        <w:tc>
          <w:tcPr>
            <w:tcW w:w="2453" w:type="dxa"/>
          </w:tcPr>
          <w:p w:rsidR="00584248" w:rsidRDefault="00584248" w:rsidP="00D94B6B">
            <w:pPr>
              <w:jc w:val="center"/>
              <w:rPr>
                <w:rFonts w:asciiTheme="minorHAnsi" w:hAnsiTheme="minorHAnsi" w:cstheme="minorHAnsi"/>
              </w:rPr>
            </w:pPr>
            <w:r>
              <w:rPr>
                <w:rFonts w:asciiTheme="minorHAnsi" w:hAnsiTheme="minorHAnsi" w:cstheme="minorHAnsi"/>
              </w:rPr>
              <w:t>0%</w:t>
            </w:r>
          </w:p>
        </w:tc>
        <w:tc>
          <w:tcPr>
            <w:tcW w:w="2549" w:type="dxa"/>
            <w:vMerge/>
          </w:tcPr>
          <w:p w:rsidR="00584248" w:rsidRDefault="00584248" w:rsidP="00D94B6B">
            <w:pPr>
              <w:jc w:val="center"/>
              <w:rPr>
                <w:rFonts w:asciiTheme="minorHAnsi" w:hAnsiTheme="minorHAnsi" w:cstheme="minorHAnsi"/>
              </w:rPr>
            </w:pPr>
          </w:p>
        </w:tc>
      </w:tr>
    </w:tbl>
    <w:p w:rsidR="00E70E52" w:rsidRDefault="00E70E52">
      <w:pPr>
        <w:rPr>
          <w:rFonts w:asciiTheme="minorHAnsi" w:hAnsiTheme="minorHAnsi" w:cstheme="minorHAnsi"/>
        </w:rPr>
      </w:pPr>
    </w:p>
    <w:p w:rsidR="00584248" w:rsidRPr="001A65F5" w:rsidRDefault="00584248">
      <w:pPr>
        <w:rPr>
          <w:rFonts w:asciiTheme="minorHAnsi" w:hAnsiTheme="minorHAnsi" w:cstheme="minorHAnsi"/>
        </w:rPr>
      </w:pPr>
    </w:p>
    <w:sectPr w:rsidR="00584248" w:rsidRPr="001A65F5" w:rsidSect="0052547F">
      <w:headerReference w:type="default" r:id="rId8"/>
      <w:pgSz w:w="11906" w:h="16838"/>
      <w:pgMar w:top="1440" w:right="566"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77" w:rsidRDefault="00837677">
      <w:r>
        <w:separator/>
      </w:r>
    </w:p>
  </w:endnote>
  <w:endnote w:type="continuationSeparator" w:id="0">
    <w:p w:rsidR="00837677" w:rsidRDefault="0083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77" w:rsidRDefault="00837677">
      <w:r>
        <w:separator/>
      </w:r>
    </w:p>
  </w:footnote>
  <w:footnote w:type="continuationSeparator" w:id="0">
    <w:p w:rsidR="00837677" w:rsidRDefault="00837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52" w:rsidRDefault="00E52843">
    <w:pPr>
      <w:pStyle w:val="Header"/>
    </w:pPr>
    <w:r>
      <w:rPr>
        <w:noProof/>
        <w:lang w:val="en-GB" w:eastAsia="en-GB"/>
      </w:rPr>
      <w:drawing>
        <wp:anchor distT="0" distB="0" distL="114300" distR="114300" simplePos="0" relativeHeight="251658240" behindDoc="1" locked="0" layoutInCell="1" allowOverlap="1" wp14:anchorId="6801CEC6" wp14:editId="2866704D">
          <wp:simplePos x="0" y="0"/>
          <wp:positionH relativeFrom="column">
            <wp:posOffset>-66675</wp:posOffset>
          </wp:positionH>
          <wp:positionV relativeFrom="paragraph">
            <wp:posOffset>-344805</wp:posOffset>
          </wp:positionV>
          <wp:extent cx="675005" cy="747395"/>
          <wp:effectExtent l="0" t="0" r="0" b="0"/>
          <wp:wrapTight wrapText="bothSides">
            <wp:wrapPolygon edited="0">
              <wp:start x="0" y="0"/>
              <wp:lineTo x="0" y="20921"/>
              <wp:lineTo x="20726" y="20921"/>
              <wp:lineTo x="207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05" cy="74739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137FBB">
      <w:t>PUPIL PREMIUM GRANT 2017 – 18</w:t>
    </w:r>
    <w:r>
      <w:t xml:space="preserve"> IMPACT STATEMENT</w:t>
    </w:r>
  </w:p>
  <w:p w:rsidR="00E70E52" w:rsidRDefault="00E70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52"/>
    <w:rsid w:val="00137FBB"/>
    <w:rsid w:val="001A65F5"/>
    <w:rsid w:val="001B75D9"/>
    <w:rsid w:val="001D62F6"/>
    <w:rsid w:val="002920CB"/>
    <w:rsid w:val="00384D68"/>
    <w:rsid w:val="004B6D89"/>
    <w:rsid w:val="00516B90"/>
    <w:rsid w:val="0052547F"/>
    <w:rsid w:val="00584248"/>
    <w:rsid w:val="00837677"/>
    <w:rsid w:val="00890844"/>
    <w:rsid w:val="008F2141"/>
    <w:rsid w:val="009B4A77"/>
    <w:rsid w:val="00C141DB"/>
    <w:rsid w:val="00CC2C57"/>
    <w:rsid w:val="00D94B6B"/>
    <w:rsid w:val="00E077C6"/>
    <w:rsid w:val="00E52843"/>
    <w:rsid w:val="00E70E52"/>
    <w:rsid w:val="00E97084"/>
    <w:rsid w:val="00F229EF"/>
    <w:rsid w:val="00FA6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mbria" w:eastAsia="MS Mincho" w:hAnsi="Cambria"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MS Mincho" w:hAnsi="Tahoma" w:cs="Tahoma"/>
      <w:sz w:val="16"/>
      <w:szCs w:val="16"/>
      <w:lang w:val="en-US"/>
    </w:rPr>
  </w:style>
  <w:style w:type="paragraph" w:customStyle="1" w:styleId="TableParagraph">
    <w:name w:val="Table Paragraph"/>
    <w:basedOn w:val="Normal"/>
    <w:uiPriority w:val="1"/>
    <w:qFormat/>
    <w:pPr>
      <w:widowControl w:val="0"/>
      <w:autoSpaceDE w:val="0"/>
      <w:autoSpaceDN w:val="0"/>
      <w:spacing w:line="205" w:lineRule="exact"/>
      <w:ind w:left="99"/>
      <w:jc w:val="center"/>
    </w:pPr>
    <w:rPr>
      <w:rFonts w:ascii="Tahoma" w:eastAsia="Tahoma" w:hAnsi="Tahoma" w:cs="Tahoma"/>
      <w:sz w:val="22"/>
      <w:szCs w:val="22"/>
    </w:rPr>
  </w:style>
  <w:style w:type="paragraph" w:customStyle="1" w:styleId="textbox">
    <w:name w:val="textbox"/>
    <w:basedOn w:val="Normal"/>
    <w:rsid w:val="00137FBB"/>
    <w:pPr>
      <w:spacing w:before="100" w:beforeAutospacing="1" w:after="100" w:afterAutospacing="1"/>
    </w:pPr>
    <w:rPr>
      <w:rFonts w:ascii="Times New Roman" w:eastAsia="Times New Roman" w:hAnsi="Times New Roman"/>
      <w:lang w:val="en-GB" w:eastAsia="en-GB"/>
    </w:rPr>
  </w:style>
  <w:style w:type="table" w:styleId="TableGrid">
    <w:name w:val="Table Grid"/>
    <w:basedOn w:val="TableNormal"/>
    <w:uiPriority w:val="59"/>
    <w:rsid w:val="001A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mbria" w:eastAsia="MS Mincho" w:hAnsi="Cambria"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MS Mincho" w:hAnsi="Tahoma" w:cs="Tahoma"/>
      <w:sz w:val="16"/>
      <w:szCs w:val="16"/>
      <w:lang w:val="en-US"/>
    </w:rPr>
  </w:style>
  <w:style w:type="paragraph" w:customStyle="1" w:styleId="TableParagraph">
    <w:name w:val="Table Paragraph"/>
    <w:basedOn w:val="Normal"/>
    <w:uiPriority w:val="1"/>
    <w:qFormat/>
    <w:pPr>
      <w:widowControl w:val="0"/>
      <w:autoSpaceDE w:val="0"/>
      <w:autoSpaceDN w:val="0"/>
      <w:spacing w:line="205" w:lineRule="exact"/>
      <w:ind w:left="99"/>
      <w:jc w:val="center"/>
    </w:pPr>
    <w:rPr>
      <w:rFonts w:ascii="Tahoma" w:eastAsia="Tahoma" w:hAnsi="Tahoma" w:cs="Tahoma"/>
      <w:sz w:val="22"/>
      <w:szCs w:val="22"/>
    </w:rPr>
  </w:style>
  <w:style w:type="paragraph" w:customStyle="1" w:styleId="textbox">
    <w:name w:val="textbox"/>
    <w:basedOn w:val="Normal"/>
    <w:rsid w:val="00137FBB"/>
    <w:pPr>
      <w:spacing w:before="100" w:beforeAutospacing="1" w:after="100" w:afterAutospacing="1"/>
    </w:pPr>
    <w:rPr>
      <w:rFonts w:ascii="Times New Roman" w:eastAsia="Times New Roman" w:hAnsi="Times New Roman"/>
      <w:lang w:val="en-GB" w:eastAsia="en-GB"/>
    </w:rPr>
  </w:style>
  <w:style w:type="table" w:styleId="TableGrid">
    <w:name w:val="Table Grid"/>
    <w:basedOn w:val="TableNormal"/>
    <w:uiPriority w:val="59"/>
    <w:rsid w:val="001A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9674">
      <w:bodyDiv w:val="1"/>
      <w:marLeft w:val="0"/>
      <w:marRight w:val="0"/>
      <w:marTop w:val="0"/>
      <w:marBottom w:val="0"/>
      <w:divBdr>
        <w:top w:val="none" w:sz="0" w:space="0" w:color="auto"/>
        <w:left w:val="none" w:sz="0" w:space="0" w:color="auto"/>
        <w:bottom w:val="none" w:sz="0" w:space="0" w:color="auto"/>
        <w:right w:val="none" w:sz="0" w:space="0" w:color="auto"/>
      </w:divBdr>
    </w:div>
    <w:div w:id="496187494">
      <w:bodyDiv w:val="1"/>
      <w:marLeft w:val="0"/>
      <w:marRight w:val="0"/>
      <w:marTop w:val="0"/>
      <w:marBottom w:val="0"/>
      <w:divBdr>
        <w:top w:val="none" w:sz="0" w:space="0" w:color="auto"/>
        <w:left w:val="none" w:sz="0" w:space="0" w:color="auto"/>
        <w:bottom w:val="none" w:sz="0" w:space="0" w:color="auto"/>
        <w:right w:val="none" w:sz="0" w:space="0" w:color="auto"/>
      </w:divBdr>
    </w:div>
    <w:div w:id="499278291">
      <w:bodyDiv w:val="1"/>
      <w:marLeft w:val="0"/>
      <w:marRight w:val="0"/>
      <w:marTop w:val="0"/>
      <w:marBottom w:val="0"/>
      <w:divBdr>
        <w:top w:val="none" w:sz="0" w:space="0" w:color="auto"/>
        <w:left w:val="none" w:sz="0" w:space="0" w:color="auto"/>
        <w:bottom w:val="none" w:sz="0" w:space="0" w:color="auto"/>
        <w:right w:val="none" w:sz="0" w:space="0" w:color="auto"/>
      </w:divBdr>
    </w:div>
    <w:div w:id="612712590">
      <w:bodyDiv w:val="1"/>
      <w:marLeft w:val="0"/>
      <w:marRight w:val="0"/>
      <w:marTop w:val="0"/>
      <w:marBottom w:val="0"/>
      <w:divBdr>
        <w:top w:val="none" w:sz="0" w:space="0" w:color="auto"/>
        <w:left w:val="none" w:sz="0" w:space="0" w:color="auto"/>
        <w:bottom w:val="none" w:sz="0" w:space="0" w:color="auto"/>
        <w:right w:val="none" w:sz="0" w:space="0" w:color="auto"/>
      </w:divBdr>
    </w:div>
    <w:div w:id="1301766950">
      <w:bodyDiv w:val="1"/>
      <w:marLeft w:val="0"/>
      <w:marRight w:val="0"/>
      <w:marTop w:val="0"/>
      <w:marBottom w:val="0"/>
      <w:divBdr>
        <w:top w:val="none" w:sz="0" w:space="0" w:color="auto"/>
        <w:left w:val="none" w:sz="0" w:space="0" w:color="auto"/>
        <w:bottom w:val="none" w:sz="0" w:space="0" w:color="auto"/>
        <w:right w:val="none" w:sz="0" w:space="0" w:color="auto"/>
      </w:divBdr>
    </w:div>
    <w:div w:id="1547450589">
      <w:bodyDiv w:val="1"/>
      <w:marLeft w:val="0"/>
      <w:marRight w:val="0"/>
      <w:marTop w:val="0"/>
      <w:marBottom w:val="0"/>
      <w:divBdr>
        <w:top w:val="none" w:sz="0" w:space="0" w:color="auto"/>
        <w:left w:val="none" w:sz="0" w:space="0" w:color="auto"/>
        <w:bottom w:val="none" w:sz="0" w:space="0" w:color="auto"/>
        <w:right w:val="none" w:sz="0" w:space="0" w:color="auto"/>
      </w:divBdr>
    </w:div>
    <w:div w:id="2040275235">
      <w:bodyDiv w:val="1"/>
      <w:marLeft w:val="0"/>
      <w:marRight w:val="0"/>
      <w:marTop w:val="0"/>
      <w:marBottom w:val="0"/>
      <w:divBdr>
        <w:top w:val="none" w:sz="0" w:space="0" w:color="auto"/>
        <w:left w:val="none" w:sz="0" w:space="0" w:color="auto"/>
        <w:bottom w:val="none" w:sz="0" w:space="0" w:color="auto"/>
        <w:right w:val="none" w:sz="0" w:space="0" w:color="auto"/>
      </w:divBdr>
    </w:div>
    <w:div w:id="21210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CDF0-624D-4E57-B4E4-76C1E08A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Blakeley, Helen</dc:creator>
  <cp:lastModifiedBy>HAND-1611</cp:lastModifiedBy>
  <cp:revision>2</cp:revision>
  <dcterms:created xsi:type="dcterms:W3CDTF">2018-11-15T14:11:00Z</dcterms:created>
  <dcterms:modified xsi:type="dcterms:W3CDTF">2018-11-15T14:11:00Z</dcterms:modified>
</cp:coreProperties>
</file>